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692" w:rsidRPr="00105FA2" w:rsidRDefault="00105FA2" w:rsidP="00105FA2">
      <w:pPr>
        <w:jc w:val="center"/>
        <w:rPr>
          <w:rFonts w:ascii="Arial" w:hAnsi="Arial" w:cs="Arial"/>
          <w:b/>
          <w:sz w:val="24"/>
          <w:szCs w:val="24"/>
        </w:rPr>
      </w:pPr>
      <w:bookmarkStart w:id="0" w:name="_GoBack"/>
      <w:bookmarkEnd w:id="0"/>
      <w:r>
        <w:rPr>
          <w:rFonts w:ascii="Arial" w:hAnsi="Arial" w:cs="Arial"/>
          <w:b/>
          <w:sz w:val="24"/>
          <w:szCs w:val="24"/>
        </w:rPr>
        <w:t xml:space="preserve">ADDENDUM TO </w:t>
      </w:r>
      <w:r w:rsidR="00660A74">
        <w:rPr>
          <w:rFonts w:ascii="Arial" w:hAnsi="Arial" w:cs="Arial"/>
          <w:b/>
          <w:sz w:val="24"/>
          <w:szCs w:val="24"/>
        </w:rPr>
        <w:t xml:space="preserve">THE </w:t>
      </w:r>
      <w:r w:rsidR="003B3622">
        <w:rPr>
          <w:rFonts w:ascii="Arial" w:hAnsi="Arial" w:cs="Arial"/>
          <w:b/>
          <w:sz w:val="24"/>
          <w:szCs w:val="24"/>
        </w:rPr>
        <w:t xml:space="preserve">TERMS AND CONDITIONS OF THE </w:t>
      </w:r>
      <w:r>
        <w:rPr>
          <w:rFonts w:ascii="Arial" w:hAnsi="Arial" w:cs="Arial"/>
          <w:b/>
          <w:sz w:val="24"/>
          <w:szCs w:val="24"/>
        </w:rPr>
        <w:t>BARRISTERS PANEL</w:t>
      </w:r>
      <w:r>
        <w:rPr>
          <w:rFonts w:ascii="Arial" w:hAnsi="Arial" w:cs="Arial"/>
          <w:b/>
          <w:sz w:val="24"/>
          <w:szCs w:val="24"/>
        </w:rPr>
        <w:br/>
      </w:r>
      <w:r w:rsidR="00AA7436">
        <w:rPr>
          <w:rFonts w:ascii="Arial" w:hAnsi="Arial" w:cs="Arial"/>
          <w:b/>
          <w:sz w:val="24"/>
          <w:szCs w:val="24"/>
        </w:rPr>
        <w:t xml:space="preserve">PROVISION OF </w:t>
      </w:r>
      <w:r>
        <w:rPr>
          <w:rFonts w:ascii="Arial" w:hAnsi="Arial" w:cs="Arial"/>
          <w:b/>
          <w:sz w:val="24"/>
          <w:szCs w:val="24"/>
        </w:rPr>
        <w:t>ADVICE SERVICES IN INTERNATIONAL PROTECTION CASES</w:t>
      </w:r>
    </w:p>
    <w:p w:rsidR="001214F6" w:rsidRDefault="00105FA2" w:rsidP="00BE04DB">
      <w:pPr>
        <w:pStyle w:val="ListParagraph"/>
        <w:numPr>
          <w:ilvl w:val="0"/>
          <w:numId w:val="1"/>
        </w:numPr>
        <w:rPr>
          <w:rFonts w:ascii="Arial" w:hAnsi="Arial" w:cs="Arial"/>
          <w:sz w:val="24"/>
          <w:szCs w:val="24"/>
        </w:rPr>
      </w:pPr>
      <w:r>
        <w:rPr>
          <w:rFonts w:ascii="Arial" w:hAnsi="Arial" w:cs="Arial"/>
          <w:sz w:val="24"/>
          <w:szCs w:val="24"/>
        </w:rPr>
        <w:t xml:space="preserve">This Addendum applies to barristers who are members of the Board’s Barristers Panel and have agreed, in accordance with the terms and conditions of the Panel generally and in accordance with the additional </w:t>
      </w:r>
      <w:r w:rsidR="003B3622">
        <w:rPr>
          <w:rFonts w:ascii="Arial" w:hAnsi="Arial" w:cs="Arial"/>
          <w:sz w:val="24"/>
          <w:szCs w:val="24"/>
        </w:rPr>
        <w:t xml:space="preserve">or modified </w:t>
      </w:r>
      <w:r>
        <w:rPr>
          <w:rFonts w:ascii="Arial" w:hAnsi="Arial" w:cs="Arial"/>
          <w:sz w:val="24"/>
          <w:szCs w:val="24"/>
        </w:rPr>
        <w:t>terms set out in this Addendum, to provide legal advice and legal aid services to applicants for international protection in the State who have been granted legal advice by the Board in connection with their application</w:t>
      </w:r>
      <w:r w:rsidR="0002580B">
        <w:rPr>
          <w:rFonts w:ascii="Arial" w:hAnsi="Arial" w:cs="Arial"/>
          <w:sz w:val="24"/>
          <w:szCs w:val="24"/>
        </w:rPr>
        <w:t xml:space="preserve"> and to be entered onto a </w:t>
      </w:r>
      <w:r w:rsidR="00AC46B1">
        <w:rPr>
          <w:rFonts w:ascii="Arial" w:hAnsi="Arial" w:cs="Arial"/>
          <w:sz w:val="24"/>
          <w:szCs w:val="24"/>
        </w:rPr>
        <w:t>sub-panel</w:t>
      </w:r>
      <w:r w:rsidR="0002580B">
        <w:rPr>
          <w:rFonts w:ascii="Arial" w:hAnsi="Arial" w:cs="Arial"/>
          <w:sz w:val="24"/>
          <w:szCs w:val="24"/>
        </w:rPr>
        <w:t xml:space="preserve"> for this purpose</w:t>
      </w:r>
      <w:r>
        <w:rPr>
          <w:rFonts w:ascii="Arial" w:hAnsi="Arial" w:cs="Arial"/>
          <w:sz w:val="24"/>
          <w:szCs w:val="24"/>
        </w:rPr>
        <w:t>.</w:t>
      </w:r>
      <w:r w:rsidR="00B7565E">
        <w:rPr>
          <w:rFonts w:ascii="Arial" w:hAnsi="Arial" w:cs="Arial"/>
          <w:sz w:val="24"/>
          <w:szCs w:val="24"/>
        </w:rPr>
        <w:t xml:space="preserve"> </w:t>
      </w:r>
      <w:r w:rsidR="001214F6">
        <w:rPr>
          <w:rFonts w:ascii="Arial" w:hAnsi="Arial" w:cs="Arial"/>
          <w:sz w:val="24"/>
          <w:szCs w:val="24"/>
        </w:rPr>
        <w:br/>
      </w:r>
    </w:p>
    <w:p w:rsidR="001214F6" w:rsidRDefault="00B7565E" w:rsidP="00BE04DB">
      <w:pPr>
        <w:pStyle w:val="ListParagraph"/>
        <w:numPr>
          <w:ilvl w:val="0"/>
          <w:numId w:val="1"/>
        </w:numPr>
        <w:rPr>
          <w:rFonts w:ascii="Arial" w:hAnsi="Arial" w:cs="Arial"/>
          <w:sz w:val="24"/>
          <w:szCs w:val="24"/>
        </w:rPr>
      </w:pPr>
      <w:r>
        <w:rPr>
          <w:rFonts w:ascii="Arial" w:hAnsi="Arial" w:cs="Arial"/>
          <w:sz w:val="24"/>
          <w:szCs w:val="24"/>
        </w:rPr>
        <w:t>For the purposes of this addendum</w:t>
      </w:r>
      <w:r w:rsidR="001214F6">
        <w:rPr>
          <w:rFonts w:ascii="Arial" w:hAnsi="Arial" w:cs="Arial"/>
          <w:sz w:val="24"/>
          <w:szCs w:val="24"/>
        </w:rPr>
        <w:t>:</w:t>
      </w:r>
    </w:p>
    <w:p w:rsidR="00007021" w:rsidRDefault="00B7565E" w:rsidP="001214F6">
      <w:pPr>
        <w:pStyle w:val="ListParagraph"/>
        <w:numPr>
          <w:ilvl w:val="1"/>
          <w:numId w:val="1"/>
        </w:numPr>
        <w:rPr>
          <w:rFonts w:ascii="Arial" w:hAnsi="Arial" w:cs="Arial"/>
          <w:sz w:val="24"/>
          <w:szCs w:val="24"/>
        </w:rPr>
      </w:pPr>
      <w:r>
        <w:rPr>
          <w:rFonts w:ascii="Arial" w:hAnsi="Arial" w:cs="Arial"/>
          <w:sz w:val="24"/>
          <w:szCs w:val="24"/>
        </w:rPr>
        <w:t xml:space="preserve"> the phrase “international protection” means </w:t>
      </w:r>
      <w:r w:rsidR="00AA7436">
        <w:rPr>
          <w:rFonts w:ascii="Arial" w:hAnsi="Arial" w:cs="Arial"/>
          <w:sz w:val="24"/>
          <w:szCs w:val="24"/>
        </w:rPr>
        <w:t xml:space="preserve">an application for </w:t>
      </w:r>
      <w:r>
        <w:rPr>
          <w:rFonts w:ascii="Arial" w:hAnsi="Arial" w:cs="Arial"/>
          <w:sz w:val="24"/>
          <w:szCs w:val="24"/>
        </w:rPr>
        <w:t>refugee status and/or subsidiary protection status in the State and includes for this purposes</w:t>
      </w:r>
      <w:r w:rsidR="001026E3">
        <w:rPr>
          <w:rFonts w:ascii="Arial" w:hAnsi="Arial" w:cs="Arial"/>
          <w:sz w:val="24"/>
          <w:szCs w:val="24"/>
        </w:rPr>
        <w:t>:</w:t>
      </w:r>
    </w:p>
    <w:p w:rsidR="00007021" w:rsidRDefault="00AA7436" w:rsidP="00756832">
      <w:pPr>
        <w:pStyle w:val="ListParagraph"/>
        <w:numPr>
          <w:ilvl w:val="2"/>
          <w:numId w:val="1"/>
        </w:numPr>
        <w:rPr>
          <w:rFonts w:ascii="Arial" w:hAnsi="Arial" w:cs="Arial"/>
          <w:sz w:val="24"/>
          <w:szCs w:val="24"/>
        </w:rPr>
      </w:pPr>
      <w:r w:rsidRPr="00756832">
        <w:rPr>
          <w:rFonts w:ascii="Arial" w:hAnsi="Arial" w:cs="Arial"/>
          <w:sz w:val="24"/>
          <w:szCs w:val="24"/>
        </w:rPr>
        <w:t xml:space="preserve">an </w:t>
      </w:r>
      <w:r w:rsidR="00007021" w:rsidRPr="00007021">
        <w:rPr>
          <w:rFonts w:ascii="Arial" w:hAnsi="Arial" w:cs="Arial"/>
          <w:sz w:val="24"/>
          <w:szCs w:val="24"/>
        </w:rPr>
        <w:t>application</w:t>
      </w:r>
      <w:r w:rsidRPr="00756832">
        <w:rPr>
          <w:rFonts w:ascii="Arial" w:hAnsi="Arial" w:cs="Arial"/>
          <w:sz w:val="24"/>
          <w:szCs w:val="24"/>
        </w:rPr>
        <w:t xml:space="preserve"> for </w:t>
      </w:r>
      <w:r w:rsidR="00B7565E" w:rsidRPr="00756832">
        <w:rPr>
          <w:rFonts w:ascii="Arial" w:hAnsi="Arial" w:cs="Arial"/>
          <w:sz w:val="24"/>
          <w:szCs w:val="24"/>
        </w:rPr>
        <w:t>permission to remain</w:t>
      </w:r>
      <w:r w:rsidR="00D576CA">
        <w:rPr>
          <w:rFonts w:ascii="Arial" w:hAnsi="Arial" w:cs="Arial"/>
          <w:sz w:val="24"/>
          <w:szCs w:val="24"/>
        </w:rPr>
        <w:t>;</w:t>
      </w:r>
      <w:r w:rsidR="00B7565E" w:rsidRPr="00756832">
        <w:rPr>
          <w:rFonts w:ascii="Arial" w:hAnsi="Arial" w:cs="Arial"/>
          <w:sz w:val="24"/>
          <w:szCs w:val="24"/>
        </w:rPr>
        <w:t xml:space="preserve"> </w:t>
      </w:r>
    </w:p>
    <w:p w:rsidR="001026E3" w:rsidRPr="00756832" w:rsidRDefault="001026E3" w:rsidP="00756832">
      <w:pPr>
        <w:pStyle w:val="ListParagraph"/>
        <w:numPr>
          <w:ilvl w:val="2"/>
          <w:numId w:val="1"/>
        </w:numPr>
        <w:rPr>
          <w:rFonts w:ascii="Arial" w:hAnsi="Arial" w:cs="Arial"/>
          <w:sz w:val="24"/>
          <w:szCs w:val="24"/>
        </w:rPr>
      </w:pPr>
      <w:r w:rsidRPr="00756832">
        <w:rPr>
          <w:rFonts w:ascii="Arial" w:hAnsi="Arial" w:cs="Arial"/>
          <w:sz w:val="24"/>
          <w:szCs w:val="24"/>
        </w:rPr>
        <w:t>Any advices that may be sought by the applicant from time to time in relation to the Reception Conditions Directive (Directive 2013/33/EU of 26 June 2013) or the European Communities (Recepti</w:t>
      </w:r>
      <w:r w:rsidR="00D576CA">
        <w:rPr>
          <w:rFonts w:ascii="Arial" w:hAnsi="Arial" w:cs="Arial"/>
          <w:sz w:val="24"/>
          <w:szCs w:val="24"/>
        </w:rPr>
        <w:t>on Conditions) Regulations 2018;</w:t>
      </w:r>
    </w:p>
    <w:p w:rsidR="00671C61" w:rsidRDefault="00007021" w:rsidP="00756832">
      <w:pPr>
        <w:pStyle w:val="ListParagraph"/>
        <w:numPr>
          <w:ilvl w:val="2"/>
          <w:numId w:val="1"/>
        </w:numPr>
        <w:rPr>
          <w:rFonts w:ascii="Arial" w:hAnsi="Arial" w:cs="Arial"/>
          <w:sz w:val="24"/>
          <w:szCs w:val="24"/>
        </w:rPr>
      </w:pPr>
      <w:r w:rsidRPr="00D83A21">
        <w:rPr>
          <w:rFonts w:ascii="Arial" w:hAnsi="Arial" w:cs="Arial"/>
          <w:sz w:val="24"/>
          <w:szCs w:val="24"/>
        </w:rPr>
        <w:t>Permission</w:t>
      </w:r>
      <w:r w:rsidR="00671C61" w:rsidRPr="00D83A21">
        <w:rPr>
          <w:rFonts w:ascii="Arial" w:hAnsi="Arial" w:cs="Arial"/>
          <w:sz w:val="24"/>
          <w:szCs w:val="24"/>
        </w:rPr>
        <w:t xml:space="preserve"> to remain review following a negative IPAT recommendation in relation to refugee and/</w:t>
      </w:r>
      <w:r w:rsidR="00D576CA">
        <w:rPr>
          <w:rFonts w:ascii="Arial" w:hAnsi="Arial" w:cs="Arial"/>
          <w:sz w:val="24"/>
          <w:szCs w:val="24"/>
        </w:rPr>
        <w:t>or subsidiary protection status;</w:t>
      </w:r>
    </w:p>
    <w:p w:rsidR="00671C61" w:rsidRDefault="00007021">
      <w:pPr>
        <w:pStyle w:val="ListParagraph"/>
        <w:numPr>
          <w:ilvl w:val="2"/>
          <w:numId w:val="1"/>
        </w:numPr>
        <w:rPr>
          <w:rFonts w:ascii="Arial" w:hAnsi="Arial" w:cs="Arial"/>
          <w:sz w:val="24"/>
          <w:szCs w:val="24"/>
        </w:rPr>
      </w:pPr>
      <w:r>
        <w:rPr>
          <w:rFonts w:ascii="Arial" w:hAnsi="Arial" w:cs="Arial"/>
          <w:sz w:val="24"/>
          <w:szCs w:val="24"/>
        </w:rPr>
        <w:t>The r</w:t>
      </w:r>
      <w:r w:rsidR="00425B88" w:rsidRPr="00756832">
        <w:rPr>
          <w:rFonts w:ascii="Arial" w:hAnsi="Arial" w:cs="Arial"/>
          <w:sz w:val="24"/>
          <w:szCs w:val="24"/>
        </w:rPr>
        <w:t>evocation</w:t>
      </w:r>
      <w:r w:rsidR="00425B88" w:rsidRPr="00425B88">
        <w:rPr>
          <w:rFonts w:ascii="Arial" w:hAnsi="Arial" w:cs="Arial"/>
          <w:b/>
          <w:sz w:val="24"/>
          <w:szCs w:val="24"/>
        </w:rPr>
        <w:t xml:space="preserve"> </w:t>
      </w:r>
      <w:r w:rsidR="00425B88" w:rsidRPr="00756832">
        <w:rPr>
          <w:rFonts w:ascii="Arial" w:hAnsi="Arial" w:cs="Arial"/>
          <w:sz w:val="24"/>
          <w:szCs w:val="24"/>
        </w:rPr>
        <w:t xml:space="preserve">or </w:t>
      </w:r>
      <w:r w:rsidRPr="00007021">
        <w:rPr>
          <w:rFonts w:ascii="Arial" w:hAnsi="Arial" w:cs="Arial"/>
          <w:sz w:val="24"/>
          <w:szCs w:val="24"/>
        </w:rPr>
        <w:t>a</w:t>
      </w:r>
      <w:r w:rsidR="00425B88" w:rsidRPr="00756832">
        <w:rPr>
          <w:rFonts w:ascii="Arial" w:hAnsi="Arial" w:cs="Arial"/>
          <w:sz w:val="24"/>
          <w:szCs w:val="24"/>
        </w:rPr>
        <w:t xml:space="preserve">mendment of </w:t>
      </w:r>
      <w:r w:rsidRPr="00756832">
        <w:rPr>
          <w:rFonts w:ascii="Arial" w:hAnsi="Arial" w:cs="Arial"/>
          <w:sz w:val="24"/>
          <w:szCs w:val="24"/>
        </w:rPr>
        <w:t xml:space="preserve">a </w:t>
      </w:r>
      <w:r w:rsidR="00425B88" w:rsidRPr="00756832">
        <w:rPr>
          <w:rFonts w:ascii="Arial" w:hAnsi="Arial" w:cs="Arial"/>
          <w:sz w:val="24"/>
          <w:szCs w:val="24"/>
        </w:rPr>
        <w:t>Deportation Order</w:t>
      </w:r>
      <w:r w:rsidR="00D576CA">
        <w:rPr>
          <w:rFonts w:ascii="Arial" w:hAnsi="Arial" w:cs="Arial"/>
          <w:sz w:val="24"/>
          <w:szCs w:val="24"/>
        </w:rPr>
        <w:t>;</w:t>
      </w:r>
    </w:p>
    <w:p w:rsidR="00A13CA1" w:rsidRDefault="00A13CA1">
      <w:pPr>
        <w:pStyle w:val="ListParagraph"/>
        <w:numPr>
          <w:ilvl w:val="2"/>
          <w:numId w:val="1"/>
        </w:numPr>
        <w:rPr>
          <w:rFonts w:ascii="Arial" w:hAnsi="Arial" w:cs="Arial"/>
          <w:sz w:val="24"/>
          <w:szCs w:val="24"/>
        </w:rPr>
      </w:pPr>
      <w:r>
        <w:rPr>
          <w:rFonts w:ascii="Arial" w:hAnsi="Arial" w:cs="Arial"/>
          <w:sz w:val="24"/>
          <w:szCs w:val="24"/>
        </w:rPr>
        <w:t>An appeal of a decision by the International Protection Office that the applicant’s application for international protection is inadmissible</w:t>
      </w:r>
      <w:r w:rsidR="00D576CA">
        <w:rPr>
          <w:rFonts w:ascii="Arial" w:hAnsi="Arial" w:cs="Arial"/>
          <w:sz w:val="24"/>
          <w:szCs w:val="24"/>
        </w:rPr>
        <w:t>;</w:t>
      </w:r>
    </w:p>
    <w:p w:rsidR="00A13CA1" w:rsidRPr="00756832" w:rsidRDefault="00A13CA1" w:rsidP="00A13CA1">
      <w:pPr>
        <w:pStyle w:val="ListParagraph"/>
        <w:numPr>
          <w:ilvl w:val="2"/>
          <w:numId w:val="1"/>
        </w:numPr>
        <w:rPr>
          <w:rFonts w:ascii="Arial" w:hAnsi="Arial" w:cs="Arial"/>
          <w:sz w:val="24"/>
          <w:szCs w:val="24"/>
        </w:rPr>
      </w:pPr>
      <w:r>
        <w:rPr>
          <w:rFonts w:ascii="Arial" w:hAnsi="Arial" w:cs="Arial"/>
          <w:sz w:val="24"/>
          <w:szCs w:val="24"/>
        </w:rPr>
        <w:t xml:space="preserve">An appeal of a decision to transfer the applicant to another Member State pursuant to </w:t>
      </w:r>
      <w:r w:rsidRPr="00A13CA1">
        <w:rPr>
          <w:rFonts w:ascii="Arial" w:hAnsi="Arial" w:cs="Arial"/>
          <w:sz w:val="24"/>
          <w:szCs w:val="24"/>
        </w:rPr>
        <w:t>Regulation (EU) 604/2013 (“</w:t>
      </w:r>
      <w:r>
        <w:rPr>
          <w:rFonts w:ascii="Arial" w:hAnsi="Arial" w:cs="Arial"/>
          <w:sz w:val="24"/>
          <w:szCs w:val="24"/>
        </w:rPr>
        <w:t xml:space="preserve">the </w:t>
      </w:r>
      <w:r w:rsidRPr="00A13CA1">
        <w:rPr>
          <w:rFonts w:ascii="Arial" w:hAnsi="Arial" w:cs="Arial"/>
          <w:sz w:val="24"/>
          <w:szCs w:val="24"/>
        </w:rPr>
        <w:t>Dublin III Regulation”)</w:t>
      </w:r>
      <w:r w:rsidR="00D576CA">
        <w:rPr>
          <w:rFonts w:ascii="Arial" w:hAnsi="Arial" w:cs="Arial"/>
          <w:sz w:val="24"/>
          <w:szCs w:val="24"/>
        </w:rPr>
        <w:t>.</w:t>
      </w:r>
    </w:p>
    <w:p w:rsidR="009664BB" w:rsidRDefault="001214F6" w:rsidP="001214F6">
      <w:pPr>
        <w:pStyle w:val="ListParagraph"/>
        <w:numPr>
          <w:ilvl w:val="1"/>
          <w:numId w:val="1"/>
        </w:numPr>
        <w:rPr>
          <w:rFonts w:ascii="Arial" w:hAnsi="Arial" w:cs="Arial"/>
          <w:sz w:val="24"/>
          <w:szCs w:val="24"/>
        </w:rPr>
      </w:pPr>
      <w:r>
        <w:rPr>
          <w:rFonts w:ascii="Arial" w:hAnsi="Arial" w:cs="Arial"/>
          <w:sz w:val="24"/>
          <w:szCs w:val="24"/>
        </w:rPr>
        <w:t xml:space="preserve">The phrase “applicant” means an applicant for legal services </w:t>
      </w:r>
      <w:r w:rsidR="00F66E9E">
        <w:rPr>
          <w:rFonts w:ascii="Arial" w:hAnsi="Arial" w:cs="Arial"/>
          <w:sz w:val="24"/>
          <w:szCs w:val="24"/>
        </w:rPr>
        <w:t>in connection with an international protection</w:t>
      </w:r>
      <w:r w:rsidR="006B6F82">
        <w:rPr>
          <w:rFonts w:ascii="Arial" w:hAnsi="Arial" w:cs="Arial"/>
          <w:sz w:val="24"/>
          <w:szCs w:val="24"/>
        </w:rPr>
        <w:t>/perm</w:t>
      </w:r>
      <w:r w:rsidR="00B0663C">
        <w:rPr>
          <w:rFonts w:ascii="Arial" w:hAnsi="Arial" w:cs="Arial"/>
          <w:sz w:val="24"/>
          <w:szCs w:val="24"/>
        </w:rPr>
        <w:t>ission to remain</w:t>
      </w:r>
      <w:r w:rsidR="00F66E9E">
        <w:rPr>
          <w:rFonts w:ascii="Arial" w:hAnsi="Arial" w:cs="Arial"/>
          <w:sz w:val="24"/>
          <w:szCs w:val="24"/>
        </w:rPr>
        <w:t xml:space="preserve"> matter </w:t>
      </w:r>
      <w:r>
        <w:rPr>
          <w:rFonts w:ascii="Arial" w:hAnsi="Arial" w:cs="Arial"/>
          <w:sz w:val="24"/>
          <w:szCs w:val="24"/>
        </w:rPr>
        <w:t xml:space="preserve">and includes a legally </w:t>
      </w:r>
      <w:r w:rsidR="00F66E9E">
        <w:rPr>
          <w:rFonts w:ascii="Arial" w:hAnsi="Arial" w:cs="Arial"/>
          <w:sz w:val="24"/>
          <w:szCs w:val="24"/>
        </w:rPr>
        <w:t xml:space="preserve">advised or </w:t>
      </w:r>
      <w:r>
        <w:rPr>
          <w:rFonts w:ascii="Arial" w:hAnsi="Arial" w:cs="Arial"/>
          <w:sz w:val="24"/>
          <w:szCs w:val="24"/>
        </w:rPr>
        <w:t>aided person in respect of whom the barrister has been briefed in accordance with this Addendum</w:t>
      </w:r>
      <w:r w:rsidR="003F6EC2">
        <w:rPr>
          <w:rFonts w:ascii="Arial" w:hAnsi="Arial" w:cs="Arial"/>
          <w:sz w:val="24"/>
          <w:szCs w:val="24"/>
        </w:rPr>
        <w:t>.</w:t>
      </w:r>
      <w:r w:rsidR="009664BB">
        <w:rPr>
          <w:rFonts w:ascii="Arial" w:hAnsi="Arial" w:cs="Arial"/>
          <w:sz w:val="24"/>
          <w:szCs w:val="24"/>
        </w:rPr>
        <w:br/>
      </w:r>
    </w:p>
    <w:p w:rsidR="00467510" w:rsidRDefault="00467510" w:rsidP="00467510">
      <w:pPr>
        <w:pStyle w:val="ListParagraph"/>
        <w:numPr>
          <w:ilvl w:val="0"/>
          <w:numId w:val="1"/>
        </w:numPr>
        <w:rPr>
          <w:rFonts w:ascii="Arial" w:hAnsi="Arial" w:cs="Arial"/>
          <w:sz w:val="24"/>
          <w:szCs w:val="24"/>
        </w:rPr>
      </w:pPr>
      <w:r>
        <w:rPr>
          <w:rFonts w:ascii="Arial" w:hAnsi="Arial" w:cs="Arial"/>
          <w:sz w:val="24"/>
          <w:szCs w:val="24"/>
        </w:rPr>
        <w:t>The scope of this Addendum and any legal aid certificate granted for representation thereunder shall not extend to representation in judicial review of a negative decision save that the Barrister shall, where on a preliminary consideration of the facts they consider any judicial review issues may arise in relation to a negative decision, advise their instructing solicitor that such issues may arise and that they are in a position to furnish an Opinion in relation to same.</w:t>
      </w:r>
    </w:p>
    <w:p w:rsidR="009664BB" w:rsidRDefault="009664BB" w:rsidP="009664BB">
      <w:pPr>
        <w:pStyle w:val="ListParagraph"/>
        <w:numPr>
          <w:ilvl w:val="0"/>
          <w:numId w:val="1"/>
        </w:numPr>
        <w:rPr>
          <w:rFonts w:ascii="Arial" w:hAnsi="Arial" w:cs="Arial"/>
          <w:sz w:val="24"/>
          <w:szCs w:val="24"/>
        </w:rPr>
      </w:pPr>
      <w:r>
        <w:rPr>
          <w:rFonts w:ascii="Arial" w:hAnsi="Arial" w:cs="Arial"/>
          <w:sz w:val="24"/>
          <w:szCs w:val="24"/>
        </w:rPr>
        <w:t xml:space="preserve">This Addendum will apply for a one year period starting </w:t>
      </w:r>
      <w:r w:rsidR="00660A74">
        <w:rPr>
          <w:rFonts w:ascii="Arial" w:hAnsi="Arial" w:cs="Arial"/>
          <w:sz w:val="24"/>
          <w:szCs w:val="24"/>
        </w:rPr>
        <w:t>1</w:t>
      </w:r>
      <w:r w:rsidR="00660A74" w:rsidRPr="00660A74">
        <w:rPr>
          <w:rFonts w:ascii="Arial" w:hAnsi="Arial" w:cs="Arial"/>
          <w:sz w:val="24"/>
          <w:szCs w:val="24"/>
          <w:vertAlign w:val="superscript"/>
        </w:rPr>
        <w:t>st</w:t>
      </w:r>
      <w:r w:rsidR="00660A74">
        <w:rPr>
          <w:rFonts w:ascii="Arial" w:hAnsi="Arial" w:cs="Arial"/>
          <w:sz w:val="24"/>
          <w:szCs w:val="24"/>
        </w:rPr>
        <w:t xml:space="preserve"> January 2023 </w:t>
      </w:r>
      <w:r>
        <w:rPr>
          <w:rFonts w:ascii="Arial" w:hAnsi="Arial" w:cs="Arial"/>
          <w:sz w:val="24"/>
          <w:szCs w:val="24"/>
        </w:rPr>
        <w:t xml:space="preserve">but may be extended for such further period as the </w:t>
      </w:r>
      <w:r w:rsidR="00D576CA">
        <w:rPr>
          <w:rFonts w:ascii="Arial" w:hAnsi="Arial" w:cs="Arial"/>
          <w:sz w:val="24"/>
          <w:szCs w:val="24"/>
        </w:rPr>
        <w:t>Board</w:t>
      </w:r>
      <w:r>
        <w:rPr>
          <w:rFonts w:ascii="Arial" w:hAnsi="Arial" w:cs="Arial"/>
          <w:sz w:val="24"/>
          <w:szCs w:val="24"/>
        </w:rPr>
        <w:t xml:space="preserve"> may from time to time </w:t>
      </w:r>
      <w:r>
        <w:rPr>
          <w:rFonts w:ascii="Arial" w:hAnsi="Arial" w:cs="Arial"/>
          <w:sz w:val="24"/>
          <w:szCs w:val="24"/>
        </w:rPr>
        <w:lastRenderedPageBreak/>
        <w:t xml:space="preserve">decide and the </w:t>
      </w:r>
      <w:r w:rsidR="00D576CA">
        <w:rPr>
          <w:rFonts w:ascii="Arial" w:hAnsi="Arial" w:cs="Arial"/>
          <w:sz w:val="24"/>
          <w:szCs w:val="24"/>
        </w:rPr>
        <w:t>Board</w:t>
      </w:r>
      <w:r>
        <w:rPr>
          <w:rFonts w:ascii="Arial" w:hAnsi="Arial" w:cs="Arial"/>
          <w:sz w:val="24"/>
          <w:szCs w:val="24"/>
        </w:rPr>
        <w:t xml:space="preserve"> </w:t>
      </w:r>
      <w:r w:rsidR="00D576CA">
        <w:rPr>
          <w:rFonts w:ascii="Arial" w:hAnsi="Arial" w:cs="Arial"/>
          <w:sz w:val="24"/>
          <w:szCs w:val="24"/>
        </w:rPr>
        <w:t xml:space="preserve">may </w:t>
      </w:r>
      <w:r>
        <w:rPr>
          <w:rFonts w:ascii="Arial" w:hAnsi="Arial" w:cs="Arial"/>
          <w:sz w:val="24"/>
          <w:szCs w:val="24"/>
        </w:rPr>
        <w:t>make further extensions on subsequent occasions as deemed appropriate.</w:t>
      </w:r>
      <w:r>
        <w:rPr>
          <w:rFonts w:ascii="Arial" w:hAnsi="Arial" w:cs="Arial"/>
          <w:sz w:val="24"/>
          <w:szCs w:val="24"/>
        </w:rPr>
        <w:br/>
      </w:r>
    </w:p>
    <w:p w:rsidR="00105FA2" w:rsidRDefault="009664BB" w:rsidP="009664BB">
      <w:pPr>
        <w:pStyle w:val="ListParagraph"/>
        <w:numPr>
          <w:ilvl w:val="0"/>
          <w:numId w:val="1"/>
        </w:numPr>
        <w:rPr>
          <w:rFonts w:ascii="Arial" w:hAnsi="Arial" w:cs="Arial"/>
          <w:sz w:val="24"/>
          <w:szCs w:val="24"/>
        </w:rPr>
      </w:pPr>
      <w:r>
        <w:rPr>
          <w:rFonts w:ascii="Arial" w:hAnsi="Arial" w:cs="Arial"/>
          <w:sz w:val="24"/>
          <w:szCs w:val="24"/>
        </w:rPr>
        <w:t xml:space="preserve">The Board may, at one months notice, terminate the operation of this Addendum and the </w:t>
      </w:r>
      <w:r w:rsidR="00AC46B1">
        <w:rPr>
          <w:rFonts w:ascii="Arial" w:hAnsi="Arial" w:cs="Arial"/>
          <w:sz w:val="24"/>
          <w:szCs w:val="24"/>
        </w:rPr>
        <w:t>sub-panel</w:t>
      </w:r>
      <w:r>
        <w:rPr>
          <w:rFonts w:ascii="Arial" w:hAnsi="Arial" w:cs="Arial"/>
          <w:sz w:val="24"/>
          <w:szCs w:val="24"/>
        </w:rPr>
        <w:t xml:space="preserve"> put in place to facilitate its operation.</w:t>
      </w:r>
      <w:r w:rsidR="004D705F">
        <w:rPr>
          <w:rFonts w:ascii="Arial" w:hAnsi="Arial" w:cs="Arial"/>
          <w:sz w:val="24"/>
          <w:szCs w:val="24"/>
        </w:rPr>
        <w:t xml:space="preserve"> Termination of the Barristers Panel automatically also terminates this Addendum and the </w:t>
      </w:r>
      <w:r w:rsidR="00AC46B1">
        <w:rPr>
          <w:rFonts w:ascii="Arial" w:hAnsi="Arial" w:cs="Arial"/>
          <w:sz w:val="24"/>
          <w:szCs w:val="24"/>
        </w:rPr>
        <w:t xml:space="preserve">sub-panel </w:t>
      </w:r>
      <w:r w:rsidR="004D705F">
        <w:rPr>
          <w:rFonts w:ascii="Arial" w:hAnsi="Arial" w:cs="Arial"/>
          <w:sz w:val="24"/>
          <w:szCs w:val="24"/>
        </w:rPr>
        <w:t>put in place to facilitate its operation.</w:t>
      </w:r>
      <w:r w:rsidR="00B7565E">
        <w:rPr>
          <w:rFonts w:ascii="Arial" w:hAnsi="Arial" w:cs="Arial"/>
          <w:sz w:val="24"/>
          <w:szCs w:val="24"/>
        </w:rPr>
        <w:br/>
      </w:r>
    </w:p>
    <w:p w:rsidR="00AA7436" w:rsidRDefault="00BE04DB" w:rsidP="00AA7436">
      <w:pPr>
        <w:pStyle w:val="ListParagraph"/>
        <w:numPr>
          <w:ilvl w:val="0"/>
          <w:numId w:val="1"/>
        </w:numPr>
        <w:rPr>
          <w:rFonts w:ascii="Arial" w:hAnsi="Arial" w:cs="Arial"/>
          <w:sz w:val="24"/>
          <w:szCs w:val="24"/>
        </w:rPr>
      </w:pPr>
      <w:r w:rsidRPr="00105FA2">
        <w:rPr>
          <w:rFonts w:ascii="Arial" w:hAnsi="Arial" w:cs="Arial"/>
          <w:sz w:val="24"/>
          <w:szCs w:val="24"/>
        </w:rPr>
        <w:t xml:space="preserve">Applicants for legal services </w:t>
      </w:r>
      <w:r w:rsidR="00B7565E">
        <w:rPr>
          <w:rFonts w:ascii="Arial" w:hAnsi="Arial" w:cs="Arial"/>
          <w:sz w:val="24"/>
          <w:szCs w:val="24"/>
        </w:rPr>
        <w:t xml:space="preserve">in connection with an application for international protection </w:t>
      </w:r>
      <w:r w:rsidRPr="00105FA2">
        <w:rPr>
          <w:rFonts w:ascii="Arial" w:hAnsi="Arial" w:cs="Arial"/>
          <w:sz w:val="24"/>
          <w:szCs w:val="24"/>
        </w:rPr>
        <w:t>will make their applications to law centres as normal.</w:t>
      </w:r>
      <w:r w:rsidR="00105FA2">
        <w:rPr>
          <w:rFonts w:ascii="Arial" w:hAnsi="Arial" w:cs="Arial"/>
          <w:sz w:val="24"/>
          <w:szCs w:val="24"/>
        </w:rPr>
        <w:t xml:space="preserve"> </w:t>
      </w:r>
      <w:r w:rsidR="00AA7436" w:rsidRPr="00AA7436">
        <w:rPr>
          <w:rFonts w:ascii="Arial" w:hAnsi="Arial" w:cs="Arial"/>
          <w:sz w:val="24"/>
          <w:szCs w:val="24"/>
        </w:rPr>
        <w:t xml:space="preserve">The Board has designated three of its law centres (Smithfield in Dublin, Seville House in Galway and </w:t>
      </w:r>
      <w:r w:rsidR="00AA7436">
        <w:rPr>
          <w:rFonts w:ascii="Arial" w:hAnsi="Arial" w:cs="Arial"/>
          <w:sz w:val="24"/>
          <w:szCs w:val="24"/>
        </w:rPr>
        <w:t>Popes Quay</w:t>
      </w:r>
      <w:r w:rsidR="00AA7436" w:rsidRPr="00AA7436">
        <w:rPr>
          <w:rFonts w:ascii="Arial" w:hAnsi="Arial" w:cs="Arial"/>
          <w:sz w:val="24"/>
          <w:szCs w:val="24"/>
        </w:rPr>
        <w:t xml:space="preserve"> in Cork) for the purposes of providing services in relation to international protection applications and for the purpose of authorising the retention of </w:t>
      </w:r>
      <w:r w:rsidR="00AA7436">
        <w:rPr>
          <w:rFonts w:ascii="Arial" w:hAnsi="Arial" w:cs="Arial"/>
          <w:sz w:val="24"/>
          <w:szCs w:val="24"/>
        </w:rPr>
        <w:t xml:space="preserve">barristers </w:t>
      </w:r>
      <w:r w:rsidR="00AA7436" w:rsidRPr="00AA7436">
        <w:rPr>
          <w:rFonts w:ascii="Arial" w:hAnsi="Arial" w:cs="Arial"/>
          <w:sz w:val="24"/>
          <w:szCs w:val="24"/>
        </w:rPr>
        <w:t>from the Panel. Any application will be initially pr</w:t>
      </w:r>
      <w:r w:rsidR="00AA7436">
        <w:rPr>
          <w:rFonts w:ascii="Arial" w:hAnsi="Arial" w:cs="Arial"/>
          <w:sz w:val="24"/>
          <w:szCs w:val="24"/>
        </w:rPr>
        <w:t xml:space="preserve">ocessed by one of those centres and the applicant’s eligibility for legal services determined. </w:t>
      </w:r>
      <w:r w:rsidR="00AA7436">
        <w:rPr>
          <w:rFonts w:ascii="Arial" w:hAnsi="Arial" w:cs="Arial"/>
          <w:sz w:val="24"/>
          <w:szCs w:val="24"/>
        </w:rPr>
        <w:br/>
      </w:r>
    </w:p>
    <w:p w:rsidR="008B0749" w:rsidRDefault="00BE04DB" w:rsidP="00AA7436">
      <w:pPr>
        <w:pStyle w:val="ListParagraph"/>
        <w:numPr>
          <w:ilvl w:val="0"/>
          <w:numId w:val="1"/>
        </w:numPr>
        <w:rPr>
          <w:rFonts w:ascii="Arial" w:hAnsi="Arial" w:cs="Arial"/>
          <w:sz w:val="24"/>
          <w:szCs w:val="24"/>
        </w:rPr>
      </w:pPr>
      <w:r w:rsidRPr="00105FA2">
        <w:rPr>
          <w:rFonts w:ascii="Arial" w:hAnsi="Arial" w:cs="Arial"/>
          <w:sz w:val="24"/>
          <w:szCs w:val="24"/>
        </w:rPr>
        <w:t xml:space="preserve">The law centre may select, in line with management guidelines, particular cases </w:t>
      </w:r>
      <w:r w:rsidR="00BE51C2">
        <w:rPr>
          <w:rFonts w:ascii="Arial" w:hAnsi="Arial" w:cs="Arial"/>
          <w:sz w:val="24"/>
          <w:szCs w:val="24"/>
        </w:rPr>
        <w:t>in which to brief</w:t>
      </w:r>
      <w:r w:rsidRPr="00105FA2">
        <w:rPr>
          <w:rFonts w:ascii="Arial" w:hAnsi="Arial" w:cs="Arial"/>
          <w:sz w:val="24"/>
          <w:szCs w:val="24"/>
        </w:rPr>
        <w:t xml:space="preserve"> </w:t>
      </w:r>
      <w:r w:rsidR="00B7565E">
        <w:rPr>
          <w:rFonts w:ascii="Arial" w:hAnsi="Arial" w:cs="Arial"/>
          <w:sz w:val="24"/>
          <w:szCs w:val="24"/>
        </w:rPr>
        <w:t>b</w:t>
      </w:r>
      <w:r w:rsidRPr="00105FA2">
        <w:rPr>
          <w:rFonts w:ascii="Arial" w:hAnsi="Arial" w:cs="Arial"/>
          <w:sz w:val="24"/>
          <w:szCs w:val="24"/>
        </w:rPr>
        <w:t>arrister</w:t>
      </w:r>
      <w:r w:rsidR="00B7565E">
        <w:rPr>
          <w:rFonts w:ascii="Arial" w:hAnsi="Arial" w:cs="Arial"/>
          <w:sz w:val="24"/>
          <w:szCs w:val="24"/>
        </w:rPr>
        <w:t>s</w:t>
      </w:r>
      <w:r w:rsidRPr="00105FA2">
        <w:rPr>
          <w:rFonts w:ascii="Arial" w:hAnsi="Arial" w:cs="Arial"/>
          <w:sz w:val="24"/>
          <w:szCs w:val="24"/>
        </w:rPr>
        <w:t xml:space="preserve"> </w:t>
      </w:r>
      <w:r w:rsidR="00BE51C2">
        <w:rPr>
          <w:rFonts w:ascii="Arial" w:hAnsi="Arial" w:cs="Arial"/>
          <w:sz w:val="24"/>
          <w:szCs w:val="24"/>
        </w:rPr>
        <w:t xml:space="preserve">to provide </w:t>
      </w:r>
      <w:r w:rsidRPr="00105FA2">
        <w:rPr>
          <w:rFonts w:ascii="Arial" w:hAnsi="Arial" w:cs="Arial"/>
          <w:sz w:val="24"/>
          <w:szCs w:val="24"/>
        </w:rPr>
        <w:t xml:space="preserve">legal advice </w:t>
      </w:r>
      <w:r w:rsidR="00BE51C2">
        <w:rPr>
          <w:rFonts w:ascii="Arial" w:hAnsi="Arial" w:cs="Arial"/>
          <w:sz w:val="24"/>
          <w:szCs w:val="24"/>
        </w:rPr>
        <w:t xml:space="preserve">and legal aid </w:t>
      </w:r>
      <w:r w:rsidRPr="00105FA2">
        <w:rPr>
          <w:rFonts w:ascii="Arial" w:hAnsi="Arial" w:cs="Arial"/>
          <w:sz w:val="24"/>
          <w:szCs w:val="24"/>
        </w:rPr>
        <w:t>services.</w:t>
      </w:r>
      <w:r w:rsidR="000F3450" w:rsidRPr="00105FA2">
        <w:rPr>
          <w:rFonts w:ascii="Arial" w:hAnsi="Arial" w:cs="Arial"/>
          <w:sz w:val="24"/>
          <w:szCs w:val="24"/>
        </w:rPr>
        <w:t xml:space="preserve"> </w:t>
      </w:r>
      <w:r w:rsidR="00AC46B1">
        <w:rPr>
          <w:rFonts w:ascii="Arial" w:hAnsi="Arial" w:cs="Arial"/>
          <w:sz w:val="24"/>
          <w:szCs w:val="24"/>
        </w:rPr>
        <w:t xml:space="preserve">In drawing up guidelines for </w:t>
      </w:r>
      <w:r w:rsidR="00A13CA1">
        <w:rPr>
          <w:rFonts w:ascii="Arial" w:hAnsi="Arial" w:cs="Arial"/>
          <w:sz w:val="24"/>
          <w:szCs w:val="24"/>
        </w:rPr>
        <w:t xml:space="preserve">the manner of </w:t>
      </w:r>
      <w:r w:rsidR="00AC46B1">
        <w:rPr>
          <w:rFonts w:ascii="Arial" w:hAnsi="Arial" w:cs="Arial"/>
          <w:sz w:val="24"/>
          <w:szCs w:val="24"/>
        </w:rPr>
        <w:t>referral to the sub-panel the Board will have regard to the desirability of spreading work among the members of the sub-panel to the greatest extent possible.</w:t>
      </w:r>
      <w:r w:rsidR="008B0749">
        <w:rPr>
          <w:rFonts w:ascii="Arial" w:hAnsi="Arial" w:cs="Arial"/>
          <w:sz w:val="24"/>
          <w:szCs w:val="24"/>
        </w:rPr>
        <w:br/>
      </w:r>
    </w:p>
    <w:p w:rsidR="00105FA2" w:rsidRPr="00105FA2" w:rsidRDefault="00007021" w:rsidP="00BE04DB">
      <w:pPr>
        <w:pStyle w:val="ListParagraph"/>
        <w:numPr>
          <w:ilvl w:val="0"/>
          <w:numId w:val="1"/>
        </w:numPr>
        <w:rPr>
          <w:rFonts w:ascii="Arial" w:hAnsi="Arial" w:cs="Arial"/>
          <w:sz w:val="24"/>
          <w:szCs w:val="24"/>
        </w:rPr>
      </w:pPr>
      <w:r>
        <w:rPr>
          <w:rFonts w:ascii="Arial" w:hAnsi="Arial" w:cs="Arial"/>
          <w:sz w:val="24"/>
          <w:szCs w:val="24"/>
        </w:rPr>
        <w:t>While it is acknowledged that hearings at the International Protection Appeals Tribunal are at present mostly conducted remotely, b</w:t>
      </w:r>
      <w:r w:rsidR="00AA7436">
        <w:rPr>
          <w:rFonts w:ascii="Arial" w:hAnsi="Arial" w:cs="Arial"/>
          <w:sz w:val="24"/>
          <w:szCs w:val="24"/>
        </w:rPr>
        <w:t xml:space="preserve">arristers </w:t>
      </w:r>
      <w:r w:rsidR="00D7717E">
        <w:rPr>
          <w:rFonts w:ascii="Arial" w:hAnsi="Arial" w:cs="Arial"/>
          <w:sz w:val="24"/>
          <w:szCs w:val="24"/>
        </w:rPr>
        <w:t xml:space="preserve">must </w:t>
      </w:r>
      <w:r w:rsidR="00AA7436">
        <w:rPr>
          <w:rFonts w:ascii="Arial" w:hAnsi="Arial" w:cs="Arial"/>
          <w:sz w:val="24"/>
          <w:szCs w:val="24"/>
        </w:rPr>
        <w:t xml:space="preserve">be </w:t>
      </w:r>
      <w:r w:rsidR="00D7717E">
        <w:rPr>
          <w:rFonts w:ascii="Arial" w:hAnsi="Arial" w:cs="Arial"/>
          <w:sz w:val="24"/>
          <w:szCs w:val="24"/>
        </w:rPr>
        <w:t xml:space="preserve">in a position </w:t>
      </w:r>
      <w:r w:rsidR="00AA7436">
        <w:rPr>
          <w:rFonts w:ascii="Arial" w:hAnsi="Arial" w:cs="Arial"/>
          <w:sz w:val="24"/>
          <w:szCs w:val="24"/>
        </w:rPr>
        <w:t xml:space="preserve">to attend at the International Protection Appeals Tribunal in Dublin </w:t>
      </w:r>
      <w:r>
        <w:rPr>
          <w:rFonts w:ascii="Arial" w:hAnsi="Arial" w:cs="Arial"/>
          <w:sz w:val="24"/>
          <w:szCs w:val="24"/>
        </w:rPr>
        <w:t>should the Tribunal decide to conduct an in person hearing in any particular case or indeed to decide to resume in person hearings generally (and</w:t>
      </w:r>
      <w:r w:rsidR="00485C01">
        <w:rPr>
          <w:rFonts w:ascii="Arial" w:hAnsi="Arial" w:cs="Arial"/>
          <w:sz w:val="24"/>
          <w:szCs w:val="24"/>
        </w:rPr>
        <w:t xml:space="preserve"> for this purpose it should be noted that any</w:t>
      </w:r>
      <w:r>
        <w:rPr>
          <w:rFonts w:ascii="Arial" w:hAnsi="Arial" w:cs="Arial"/>
          <w:sz w:val="24"/>
          <w:szCs w:val="24"/>
        </w:rPr>
        <w:t xml:space="preserve"> such decision </w:t>
      </w:r>
      <w:r w:rsidR="00496BE7">
        <w:rPr>
          <w:rFonts w:ascii="Arial" w:hAnsi="Arial" w:cs="Arial"/>
          <w:sz w:val="24"/>
          <w:szCs w:val="24"/>
        </w:rPr>
        <w:t xml:space="preserve">by the Tribunal to do so </w:t>
      </w:r>
      <w:r>
        <w:rPr>
          <w:rFonts w:ascii="Arial" w:hAnsi="Arial" w:cs="Arial"/>
          <w:sz w:val="24"/>
          <w:szCs w:val="24"/>
        </w:rPr>
        <w:t xml:space="preserve">is outside the control of the Board). Where a barrister is required to attend an in person </w:t>
      </w:r>
      <w:r w:rsidR="00A13CA1">
        <w:rPr>
          <w:rFonts w:ascii="Arial" w:hAnsi="Arial" w:cs="Arial"/>
          <w:sz w:val="24"/>
          <w:szCs w:val="24"/>
        </w:rPr>
        <w:t>hearing</w:t>
      </w:r>
      <w:r w:rsidR="00D576CA">
        <w:rPr>
          <w:rFonts w:ascii="Arial" w:hAnsi="Arial" w:cs="Arial"/>
          <w:sz w:val="24"/>
          <w:szCs w:val="24"/>
        </w:rPr>
        <w:t>,</w:t>
      </w:r>
      <w:r w:rsidR="00A13CA1">
        <w:rPr>
          <w:rFonts w:ascii="Arial" w:hAnsi="Arial" w:cs="Arial"/>
          <w:sz w:val="24"/>
          <w:szCs w:val="24"/>
        </w:rPr>
        <w:t xml:space="preserve"> travel</w:t>
      </w:r>
      <w:r w:rsidR="00AA7436">
        <w:rPr>
          <w:rFonts w:ascii="Arial" w:hAnsi="Arial" w:cs="Arial"/>
          <w:sz w:val="24"/>
          <w:szCs w:val="24"/>
        </w:rPr>
        <w:t xml:space="preserve"> expenses will be paid </w:t>
      </w:r>
      <w:r w:rsidR="006621B0">
        <w:rPr>
          <w:rFonts w:ascii="Arial" w:hAnsi="Arial" w:cs="Arial"/>
          <w:sz w:val="24"/>
          <w:szCs w:val="24"/>
        </w:rPr>
        <w:t xml:space="preserve">to barristers based </w:t>
      </w:r>
      <w:r w:rsidR="00D7717E">
        <w:rPr>
          <w:rFonts w:ascii="Arial" w:hAnsi="Arial" w:cs="Arial"/>
          <w:sz w:val="24"/>
          <w:szCs w:val="24"/>
        </w:rPr>
        <w:t>outside of</w:t>
      </w:r>
      <w:r w:rsidR="006621B0">
        <w:rPr>
          <w:rFonts w:ascii="Arial" w:hAnsi="Arial" w:cs="Arial"/>
          <w:sz w:val="24"/>
          <w:szCs w:val="24"/>
        </w:rPr>
        <w:t xml:space="preserve"> Dublin </w:t>
      </w:r>
      <w:r w:rsidR="00AA7436">
        <w:rPr>
          <w:rFonts w:ascii="Arial" w:hAnsi="Arial" w:cs="Arial"/>
          <w:sz w:val="24"/>
          <w:szCs w:val="24"/>
        </w:rPr>
        <w:t>in accordance with paragraph 26 of the main body of the Terms and Conditions of the Barristers Panel.</w:t>
      </w:r>
      <w:r w:rsidR="00D7717E">
        <w:rPr>
          <w:rFonts w:ascii="Arial" w:hAnsi="Arial" w:cs="Arial"/>
          <w:sz w:val="24"/>
          <w:szCs w:val="24"/>
        </w:rPr>
        <w:t xml:space="preserve"> For the avoidance of doubt travel expenses will not be paid to a Dublin based barrister for attending a tribunal hearing in Dublin.</w:t>
      </w:r>
      <w:r w:rsidR="00105FA2" w:rsidRPr="00105FA2">
        <w:rPr>
          <w:rFonts w:ascii="Arial" w:hAnsi="Arial" w:cs="Arial"/>
          <w:sz w:val="24"/>
          <w:szCs w:val="24"/>
        </w:rPr>
        <w:br/>
      </w:r>
    </w:p>
    <w:p w:rsidR="00467510" w:rsidRDefault="00BE04DB" w:rsidP="00BB56F0">
      <w:pPr>
        <w:pStyle w:val="ListParagraph"/>
        <w:numPr>
          <w:ilvl w:val="0"/>
          <w:numId w:val="1"/>
        </w:numPr>
        <w:rPr>
          <w:rFonts w:ascii="Arial" w:hAnsi="Arial" w:cs="Arial"/>
          <w:sz w:val="24"/>
          <w:szCs w:val="24"/>
        </w:rPr>
      </w:pPr>
      <w:r w:rsidRPr="00BB56F0">
        <w:rPr>
          <w:rFonts w:ascii="Arial" w:hAnsi="Arial" w:cs="Arial"/>
          <w:sz w:val="24"/>
          <w:szCs w:val="24"/>
        </w:rPr>
        <w:t xml:space="preserve">A law centre solicitor will </w:t>
      </w:r>
      <w:r w:rsidR="00C31755">
        <w:rPr>
          <w:rFonts w:ascii="Arial" w:hAnsi="Arial" w:cs="Arial"/>
          <w:sz w:val="24"/>
          <w:szCs w:val="24"/>
        </w:rPr>
        <w:t xml:space="preserve">be </w:t>
      </w:r>
      <w:r w:rsidRPr="00BB56F0">
        <w:rPr>
          <w:rFonts w:ascii="Arial" w:hAnsi="Arial" w:cs="Arial"/>
          <w:sz w:val="24"/>
          <w:szCs w:val="24"/>
        </w:rPr>
        <w:t>assigned to the case</w:t>
      </w:r>
      <w:r w:rsidR="00BE51C2">
        <w:rPr>
          <w:rFonts w:ascii="Arial" w:hAnsi="Arial" w:cs="Arial"/>
          <w:sz w:val="24"/>
          <w:szCs w:val="24"/>
        </w:rPr>
        <w:t xml:space="preserve"> and who will be </w:t>
      </w:r>
      <w:r w:rsidRPr="00BB56F0">
        <w:rPr>
          <w:rFonts w:ascii="Arial" w:hAnsi="Arial" w:cs="Arial"/>
          <w:sz w:val="24"/>
          <w:szCs w:val="24"/>
        </w:rPr>
        <w:t xml:space="preserve">the </w:t>
      </w:r>
      <w:r w:rsidR="00B7565E">
        <w:rPr>
          <w:rFonts w:ascii="Arial" w:hAnsi="Arial" w:cs="Arial"/>
          <w:sz w:val="24"/>
          <w:szCs w:val="24"/>
        </w:rPr>
        <w:t>B</w:t>
      </w:r>
      <w:r w:rsidRPr="00BB56F0">
        <w:rPr>
          <w:rFonts w:ascii="Arial" w:hAnsi="Arial" w:cs="Arial"/>
          <w:sz w:val="24"/>
          <w:szCs w:val="24"/>
        </w:rPr>
        <w:t>arrister</w:t>
      </w:r>
      <w:r w:rsidR="00B7565E">
        <w:rPr>
          <w:rFonts w:ascii="Arial" w:hAnsi="Arial" w:cs="Arial"/>
          <w:sz w:val="24"/>
          <w:szCs w:val="24"/>
        </w:rPr>
        <w:t>’</w:t>
      </w:r>
      <w:r w:rsidR="00C1326E">
        <w:rPr>
          <w:rFonts w:ascii="Arial" w:hAnsi="Arial" w:cs="Arial"/>
          <w:sz w:val="24"/>
          <w:szCs w:val="24"/>
        </w:rPr>
        <w:t xml:space="preserve">s instructing solicitor. The instructing solicitor remains responsible for the provision of a quality legal service to the client. </w:t>
      </w:r>
      <w:r w:rsidR="00467510">
        <w:rPr>
          <w:rFonts w:ascii="Arial" w:hAnsi="Arial" w:cs="Arial"/>
          <w:sz w:val="24"/>
          <w:szCs w:val="24"/>
        </w:rPr>
        <w:br/>
      </w:r>
    </w:p>
    <w:p w:rsidR="00BB56F0" w:rsidRPr="00BB56F0" w:rsidRDefault="00C1326E" w:rsidP="00BB56F0">
      <w:pPr>
        <w:pStyle w:val="ListParagraph"/>
        <w:numPr>
          <w:ilvl w:val="0"/>
          <w:numId w:val="1"/>
        </w:numPr>
        <w:rPr>
          <w:rFonts w:ascii="Arial" w:hAnsi="Arial" w:cs="Arial"/>
          <w:sz w:val="24"/>
          <w:szCs w:val="24"/>
        </w:rPr>
      </w:pPr>
      <w:r>
        <w:rPr>
          <w:rFonts w:ascii="Arial" w:hAnsi="Arial" w:cs="Arial"/>
          <w:sz w:val="24"/>
          <w:szCs w:val="24"/>
        </w:rPr>
        <w:t>The law centre will also assi</w:t>
      </w:r>
      <w:r w:rsidR="006C39E0">
        <w:rPr>
          <w:rFonts w:ascii="Arial" w:hAnsi="Arial" w:cs="Arial"/>
          <w:sz w:val="24"/>
          <w:szCs w:val="24"/>
        </w:rPr>
        <w:t>gn a paralegal member of staff</w:t>
      </w:r>
      <w:r>
        <w:rPr>
          <w:rFonts w:ascii="Arial" w:hAnsi="Arial" w:cs="Arial"/>
          <w:sz w:val="24"/>
          <w:szCs w:val="24"/>
        </w:rPr>
        <w:t xml:space="preserve"> who will be the </w:t>
      </w:r>
      <w:r w:rsidR="00AA06D9">
        <w:rPr>
          <w:rFonts w:ascii="Arial" w:hAnsi="Arial" w:cs="Arial"/>
          <w:sz w:val="24"/>
          <w:szCs w:val="24"/>
        </w:rPr>
        <w:t>applicant’s</w:t>
      </w:r>
      <w:r>
        <w:rPr>
          <w:rFonts w:ascii="Arial" w:hAnsi="Arial" w:cs="Arial"/>
          <w:sz w:val="24"/>
          <w:szCs w:val="24"/>
        </w:rPr>
        <w:t xml:space="preserve"> primary contact point with the law centre and deal with </w:t>
      </w:r>
      <w:r w:rsidR="00467510">
        <w:rPr>
          <w:rFonts w:ascii="Arial" w:hAnsi="Arial" w:cs="Arial"/>
          <w:sz w:val="24"/>
          <w:szCs w:val="24"/>
        </w:rPr>
        <w:t xml:space="preserve">day-to-day </w:t>
      </w:r>
      <w:r>
        <w:rPr>
          <w:rFonts w:ascii="Arial" w:hAnsi="Arial" w:cs="Arial"/>
          <w:sz w:val="24"/>
          <w:szCs w:val="24"/>
        </w:rPr>
        <w:t>queries</w:t>
      </w:r>
      <w:r w:rsidR="00467510">
        <w:rPr>
          <w:rFonts w:ascii="Arial" w:hAnsi="Arial" w:cs="Arial"/>
          <w:sz w:val="24"/>
          <w:szCs w:val="24"/>
        </w:rPr>
        <w:t xml:space="preserve"> which may arise</w:t>
      </w:r>
      <w:r>
        <w:rPr>
          <w:rFonts w:ascii="Arial" w:hAnsi="Arial" w:cs="Arial"/>
          <w:sz w:val="24"/>
          <w:szCs w:val="24"/>
        </w:rPr>
        <w:t xml:space="preserve">. </w:t>
      </w:r>
      <w:r w:rsidR="00467510">
        <w:rPr>
          <w:rFonts w:ascii="Arial" w:hAnsi="Arial" w:cs="Arial"/>
          <w:sz w:val="24"/>
          <w:szCs w:val="24"/>
        </w:rPr>
        <w:t xml:space="preserve">The </w:t>
      </w:r>
      <w:r w:rsidR="006C39E0">
        <w:rPr>
          <w:rFonts w:ascii="Arial" w:hAnsi="Arial" w:cs="Arial"/>
          <w:sz w:val="24"/>
          <w:szCs w:val="24"/>
        </w:rPr>
        <w:t>paralegal</w:t>
      </w:r>
      <w:r w:rsidR="00467510">
        <w:rPr>
          <w:rFonts w:ascii="Arial" w:hAnsi="Arial" w:cs="Arial"/>
          <w:sz w:val="24"/>
          <w:szCs w:val="24"/>
        </w:rPr>
        <w:t xml:space="preserve"> will, under the supervision of the solicitor, work with the barrister to ensure the provision of a quality legal </w:t>
      </w:r>
      <w:r w:rsidR="00467510">
        <w:rPr>
          <w:rFonts w:ascii="Arial" w:hAnsi="Arial" w:cs="Arial"/>
          <w:sz w:val="24"/>
          <w:szCs w:val="24"/>
        </w:rPr>
        <w:lastRenderedPageBreak/>
        <w:t xml:space="preserve">service to the </w:t>
      </w:r>
      <w:r w:rsidR="00AA06D9">
        <w:rPr>
          <w:rFonts w:ascii="Arial" w:hAnsi="Arial" w:cs="Arial"/>
          <w:sz w:val="24"/>
          <w:szCs w:val="24"/>
        </w:rPr>
        <w:t>applicant</w:t>
      </w:r>
      <w:r w:rsidR="00467510">
        <w:rPr>
          <w:rFonts w:ascii="Arial" w:hAnsi="Arial" w:cs="Arial"/>
          <w:sz w:val="24"/>
          <w:szCs w:val="24"/>
        </w:rPr>
        <w:t>.</w:t>
      </w:r>
      <w:r w:rsidR="00BB56F0">
        <w:rPr>
          <w:rFonts w:ascii="Arial" w:hAnsi="Arial" w:cs="Arial"/>
          <w:sz w:val="24"/>
          <w:szCs w:val="24"/>
        </w:rPr>
        <w:br/>
      </w:r>
    </w:p>
    <w:p w:rsidR="00AF27AD" w:rsidRPr="00467510" w:rsidRDefault="000F3450" w:rsidP="00AF27AD">
      <w:pPr>
        <w:pStyle w:val="ListParagraph"/>
        <w:numPr>
          <w:ilvl w:val="0"/>
          <w:numId w:val="1"/>
        </w:numPr>
        <w:rPr>
          <w:rFonts w:ascii="Arial" w:hAnsi="Arial" w:cs="Arial"/>
          <w:sz w:val="24"/>
          <w:szCs w:val="24"/>
        </w:rPr>
      </w:pPr>
      <w:r w:rsidRPr="00467510">
        <w:rPr>
          <w:rFonts w:ascii="Arial" w:hAnsi="Arial" w:cs="Arial"/>
          <w:sz w:val="24"/>
          <w:szCs w:val="24"/>
        </w:rPr>
        <w:t xml:space="preserve">A </w:t>
      </w:r>
      <w:r w:rsidR="00B7565E" w:rsidRPr="00467510">
        <w:rPr>
          <w:rFonts w:ascii="Arial" w:hAnsi="Arial" w:cs="Arial"/>
          <w:sz w:val="24"/>
          <w:szCs w:val="24"/>
        </w:rPr>
        <w:t xml:space="preserve">legal aid certificate </w:t>
      </w:r>
      <w:r w:rsidRPr="00467510">
        <w:rPr>
          <w:rFonts w:ascii="Arial" w:hAnsi="Arial" w:cs="Arial"/>
          <w:sz w:val="24"/>
          <w:szCs w:val="24"/>
        </w:rPr>
        <w:t xml:space="preserve">will be </w:t>
      </w:r>
      <w:r w:rsidR="00467510">
        <w:rPr>
          <w:rFonts w:ascii="Arial" w:hAnsi="Arial" w:cs="Arial"/>
          <w:sz w:val="24"/>
          <w:szCs w:val="24"/>
        </w:rPr>
        <w:t xml:space="preserve">furnished </w:t>
      </w:r>
      <w:r w:rsidRPr="00467510">
        <w:rPr>
          <w:rFonts w:ascii="Arial" w:hAnsi="Arial" w:cs="Arial"/>
          <w:sz w:val="24"/>
          <w:szCs w:val="24"/>
        </w:rPr>
        <w:t xml:space="preserve">with the brief to Counsel which will be </w:t>
      </w:r>
      <w:r w:rsidR="00467510">
        <w:rPr>
          <w:rFonts w:ascii="Arial" w:hAnsi="Arial" w:cs="Arial"/>
          <w:sz w:val="24"/>
          <w:szCs w:val="24"/>
        </w:rPr>
        <w:t xml:space="preserve">the solicitor and Counsel’s </w:t>
      </w:r>
      <w:r w:rsidRPr="00467510">
        <w:rPr>
          <w:rFonts w:ascii="Arial" w:hAnsi="Arial" w:cs="Arial"/>
          <w:sz w:val="24"/>
          <w:szCs w:val="24"/>
        </w:rPr>
        <w:t>authority to provide a</w:t>
      </w:r>
      <w:r w:rsidR="00B7565E" w:rsidRPr="00467510">
        <w:rPr>
          <w:rFonts w:ascii="Arial" w:hAnsi="Arial" w:cs="Arial"/>
          <w:sz w:val="24"/>
          <w:szCs w:val="24"/>
        </w:rPr>
        <w:t xml:space="preserve">dvice in relation to the matter and also where necessary to provide representation before the International Protection Appeals Tribunal. </w:t>
      </w:r>
      <w:r w:rsidR="00467510" w:rsidRPr="00467510">
        <w:rPr>
          <w:rFonts w:ascii="Arial" w:hAnsi="Arial" w:cs="Arial"/>
          <w:sz w:val="24"/>
          <w:szCs w:val="24"/>
        </w:rPr>
        <w:br/>
      </w:r>
    </w:p>
    <w:p w:rsidR="00D077DC" w:rsidRDefault="000F3450" w:rsidP="000F3450">
      <w:pPr>
        <w:pStyle w:val="ListParagraph"/>
        <w:numPr>
          <w:ilvl w:val="0"/>
          <w:numId w:val="1"/>
        </w:numPr>
        <w:rPr>
          <w:rFonts w:ascii="Arial" w:hAnsi="Arial" w:cs="Arial"/>
          <w:sz w:val="24"/>
          <w:szCs w:val="24"/>
        </w:rPr>
      </w:pPr>
      <w:r w:rsidRPr="000F3450">
        <w:rPr>
          <w:rFonts w:ascii="Arial" w:hAnsi="Arial" w:cs="Arial"/>
          <w:sz w:val="24"/>
          <w:szCs w:val="24"/>
        </w:rPr>
        <w:t xml:space="preserve">The </w:t>
      </w:r>
      <w:r w:rsidR="006621B0">
        <w:rPr>
          <w:rFonts w:ascii="Arial" w:hAnsi="Arial" w:cs="Arial"/>
          <w:sz w:val="24"/>
          <w:szCs w:val="24"/>
        </w:rPr>
        <w:t>B</w:t>
      </w:r>
      <w:r>
        <w:rPr>
          <w:rFonts w:ascii="Arial" w:hAnsi="Arial" w:cs="Arial"/>
          <w:sz w:val="24"/>
          <w:szCs w:val="24"/>
        </w:rPr>
        <w:t>arrister will provide services in line with the Board’s best practice guidelines for international protection</w:t>
      </w:r>
      <w:r w:rsidR="00686B65">
        <w:rPr>
          <w:rFonts w:ascii="Arial" w:hAnsi="Arial" w:cs="Arial"/>
          <w:sz w:val="24"/>
          <w:szCs w:val="24"/>
        </w:rPr>
        <w:t xml:space="preserve">. Without prejudice to the generality of the foregoing, the work the barrister shall carry out shall </w:t>
      </w:r>
      <w:r>
        <w:rPr>
          <w:rFonts w:ascii="Arial" w:hAnsi="Arial" w:cs="Arial"/>
          <w:sz w:val="24"/>
          <w:szCs w:val="24"/>
        </w:rPr>
        <w:t>include but not be limited to:</w:t>
      </w:r>
    </w:p>
    <w:p w:rsidR="00D576CA" w:rsidRDefault="00D576CA" w:rsidP="00D576CA">
      <w:pPr>
        <w:pStyle w:val="ListParagraph"/>
        <w:rPr>
          <w:rFonts w:ascii="Arial" w:hAnsi="Arial" w:cs="Arial"/>
          <w:sz w:val="24"/>
          <w:szCs w:val="24"/>
        </w:rPr>
      </w:pPr>
    </w:p>
    <w:p w:rsidR="00654B85" w:rsidRDefault="00041369" w:rsidP="00BE51C2">
      <w:pPr>
        <w:pStyle w:val="ListParagraph"/>
        <w:numPr>
          <w:ilvl w:val="1"/>
          <w:numId w:val="1"/>
        </w:numPr>
        <w:rPr>
          <w:rFonts w:ascii="Arial" w:hAnsi="Arial" w:cs="Arial"/>
          <w:sz w:val="24"/>
          <w:szCs w:val="24"/>
        </w:rPr>
      </w:pPr>
      <w:r>
        <w:rPr>
          <w:rFonts w:ascii="Arial" w:hAnsi="Arial" w:cs="Arial"/>
          <w:sz w:val="24"/>
          <w:szCs w:val="24"/>
        </w:rPr>
        <w:t>In the event that the barrister is briefed prior to the completion of the International Protection Questionnaire by the applicant</w:t>
      </w:r>
      <w:r w:rsidR="00654B85">
        <w:rPr>
          <w:rFonts w:ascii="Arial" w:hAnsi="Arial" w:cs="Arial"/>
          <w:sz w:val="24"/>
          <w:szCs w:val="24"/>
        </w:rPr>
        <w:t>, the barrister shall conduct a first consultation with the applicant, take instructions from the applicant and provide legal advice based on all the information available and having regard to the applicant’s requirement to complete the Questionnaire;</w:t>
      </w:r>
    </w:p>
    <w:p w:rsidR="00BE51C2" w:rsidRPr="00BE51C2" w:rsidRDefault="00654B85" w:rsidP="00BE51C2">
      <w:pPr>
        <w:pStyle w:val="ListParagraph"/>
        <w:numPr>
          <w:ilvl w:val="1"/>
          <w:numId w:val="1"/>
        </w:numPr>
        <w:rPr>
          <w:rFonts w:ascii="Arial" w:hAnsi="Arial" w:cs="Arial"/>
          <w:sz w:val="24"/>
          <w:szCs w:val="24"/>
        </w:rPr>
      </w:pPr>
      <w:r>
        <w:rPr>
          <w:rFonts w:ascii="Arial" w:hAnsi="Arial" w:cs="Arial"/>
          <w:sz w:val="24"/>
          <w:szCs w:val="24"/>
        </w:rPr>
        <w:t>In the event that the barrister is briefed following the completion of the Questionnaire and prior to the applicant’s interview with the International Protection Office, the barrister shall conduct a</w:t>
      </w:r>
      <w:r w:rsidR="00EA0D6A">
        <w:rPr>
          <w:rFonts w:ascii="Arial" w:hAnsi="Arial" w:cs="Arial"/>
          <w:sz w:val="24"/>
          <w:szCs w:val="24"/>
        </w:rPr>
        <w:t xml:space="preserve"> first </w:t>
      </w:r>
      <w:r w:rsidR="00BE51C2">
        <w:rPr>
          <w:rFonts w:ascii="Arial" w:hAnsi="Arial" w:cs="Arial"/>
          <w:sz w:val="24"/>
          <w:szCs w:val="24"/>
        </w:rPr>
        <w:t xml:space="preserve">consultation </w:t>
      </w:r>
      <w:r>
        <w:rPr>
          <w:rFonts w:ascii="Arial" w:hAnsi="Arial" w:cs="Arial"/>
          <w:sz w:val="24"/>
          <w:szCs w:val="24"/>
        </w:rPr>
        <w:t>with the applicant and</w:t>
      </w:r>
      <w:r w:rsidR="00BE51C2">
        <w:rPr>
          <w:rFonts w:ascii="Arial" w:hAnsi="Arial" w:cs="Arial"/>
          <w:sz w:val="24"/>
          <w:szCs w:val="24"/>
        </w:rPr>
        <w:t xml:space="preserve"> take any necessary further instructions from the applicant and provide legal advice based on all the information contained in the applicant’s Application for International Protection Questionnaire</w:t>
      </w:r>
      <w:r w:rsidR="00D576CA">
        <w:rPr>
          <w:rFonts w:ascii="Arial" w:hAnsi="Arial" w:cs="Arial"/>
          <w:sz w:val="24"/>
          <w:szCs w:val="24"/>
        </w:rPr>
        <w:t>;</w:t>
      </w:r>
    </w:p>
    <w:p w:rsidR="00BE51C2" w:rsidRDefault="00BE51C2" w:rsidP="000F3450">
      <w:pPr>
        <w:pStyle w:val="ListParagraph"/>
        <w:numPr>
          <w:ilvl w:val="1"/>
          <w:numId w:val="1"/>
        </w:numPr>
        <w:rPr>
          <w:rFonts w:ascii="Arial" w:hAnsi="Arial" w:cs="Arial"/>
          <w:sz w:val="24"/>
          <w:szCs w:val="24"/>
        </w:rPr>
      </w:pPr>
      <w:r>
        <w:rPr>
          <w:rFonts w:ascii="Arial" w:hAnsi="Arial" w:cs="Arial"/>
          <w:sz w:val="24"/>
          <w:szCs w:val="24"/>
        </w:rPr>
        <w:t xml:space="preserve">Following the </w:t>
      </w:r>
      <w:r w:rsidR="00654B85">
        <w:rPr>
          <w:rFonts w:ascii="Arial" w:hAnsi="Arial" w:cs="Arial"/>
          <w:sz w:val="24"/>
          <w:szCs w:val="24"/>
        </w:rPr>
        <w:t xml:space="preserve">aforementioned </w:t>
      </w:r>
      <w:r>
        <w:rPr>
          <w:rFonts w:ascii="Arial" w:hAnsi="Arial" w:cs="Arial"/>
          <w:sz w:val="24"/>
          <w:szCs w:val="24"/>
        </w:rPr>
        <w:t>consultation</w:t>
      </w:r>
      <w:r w:rsidR="006F7191">
        <w:rPr>
          <w:rFonts w:ascii="Arial" w:hAnsi="Arial" w:cs="Arial"/>
          <w:sz w:val="24"/>
          <w:szCs w:val="24"/>
        </w:rPr>
        <w:t>,</w:t>
      </w:r>
      <w:r>
        <w:rPr>
          <w:rFonts w:ascii="Arial" w:hAnsi="Arial" w:cs="Arial"/>
          <w:sz w:val="24"/>
          <w:szCs w:val="24"/>
        </w:rPr>
        <w:t xml:space="preserve"> </w:t>
      </w:r>
      <w:r w:rsidR="00654B85">
        <w:rPr>
          <w:rFonts w:ascii="Arial" w:hAnsi="Arial" w:cs="Arial"/>
          <w:sz w:val="24"/>
          <w:szCs w:val="24"/>
        </w:rPr>
        <w:t xml:space="preserve">the barrister shall </w:t>
      </w:r>
      <w:r w:rsidRPr="00BE51C2">
        <w:rPr>
          <w:rFonts w:ascii="Arial" w:hAnsi="Arial" w:cs="Arial"/>
          <w:sz w:val="24"/>
          <w:szCs w:val="24"/>
        </w:rPr>
        <w:t xml:space="preserve">advise </w:t>
      </w:r>
      <w:r w:rsidR="006F7191">
        <w:rPr>
          <w:rFonts w:ascii="Arial" w:hAnsi="Arial" w:cs="Arial"/>
          <w:sz w:val="24"/>
          <w:szCs w:val="24"/>
        </w:rPr>
        <w:t>the</w:t>
      </w:r>
      <w:r>
        <w:rPr>
          <w:rFonts w:ascii="Arial" w:hAnsi="Arial" w:cs="Arial"/>
          <w:sz w:val="24"/>
          <w:szCs w:val="24"/>
        </w:rPr>
        <w:t xml:space="preserve"> instructing </w:t>
      </w:r>
      <w:r w:rsidR="006F7191">
        <w:rPr>
          <w:rFonts w:ascii="Arial" w:hAnsi="Arial" w:cs="Arial"/>
          <w:sz w:val="24"/>
          <w:szCs w:val="24"/>
        </w:rPr>
        <w:t xml:space="preserve">paralegal / solicitor </w:t>
      </w:r>
      <w:r w:rsidRPr="00BE51C2">
        <w:rPr>
          <w:rFonts w:ascii="Arial" w:hAnsi="Arial" w:cs="Arial"/>
          <w:sz w:val="24"/>
          <w:szCs w:val="24"/>
        </w:rPr>
        <w:t xml:space="preserve">whether </w:t>
      </w:r>
      <w:r>
        <w:rPr>
          <w:rFonts w:ascii="Arial" w:hAnsi="Arial" w:cs="Arial"/>
          <w:sz w:val="24"/>
          <w:szCs w:val="24"/>
        </w:rPr>
        <w:t xml:space="preserve">or not </w:t>
      </w:r>
      <w:r w:rsidRPr="00BE51C2">
        <w:rPr>
          <w:rFonts w:ascii="Arial" w:hAnsi="Arial" w:cs="Arial"/>
          <w:sz w:val="24"/>
          <w:szCs w:val="24"/>
        </w:rPr>
        <w:t>the applicant has an arguable claim for refugee or subsidiary protection status</w:t>
      </w:r>
      <w:r w:rsidR="008C12C7">
        <w:rPr>
          <w:rFonts w:ascii="Arial" w:hAnsi="Arial" w:cs="Arial"/>
          <w:sz w:val="24"/>
          <w:szCs w:val="24"/>
        </w:rPr>
        <w:t>.</w:t>
      </w:r>
      <w:r w:rsidR="006F7191">
        <w:rPr>
          <w:rFonts w:ascii="Arial" w:hAnsi="Arial" w:cs="Arial"/>
          <w:sz w:val="24"/>
          <w:szCs w:val="24"/>
        </w:rPr>
        <w:t>;</w:t>
      </w:r>
    </w:p>
    <w:p w:rsidR="008C12C7" w:rsidRPr="008C12C7" w:rsidRDefault="00FE5460" w:rsidP="008C12C7">
      <w:pPr>
        <w:ind w:left="1080"/>
        <w:rPr>
          <w:rFonts w:ascii="Arial" w:hAnsi="Arial" w:cs="Arial"/>
          <w:sz w:val="24"/>
          <w:szCs w:val="24"/>
        </w:rPr>
      </w:pPr>
      <w:r>
        <w:rPr>
          <w:rFonts w:ascii="Arial" w:hAnsi="Arial" w:cs="Arial"/>
          <w:sz w:val="24"/>
          <w:szCs w:val="24"/>
        </w:rPr>
        <w:t>S</w:t>
      </w:r>
      <w:r w:rsidR="008C12C7" w:rsidRPr="008C12C7">
        <w:rPr>
          <w:rFonts w:ascii="Arial" w:hAnsi="Arial" w:cs="Arial"/>
          <w:sz w:val="24"/>
          <w:szCs w:val="24"/>
        </w:rPr>
        <w:t>ubmissions should be made to the IPO following consultation with the</w:t>
      </w:r>
      <w:r w:rsidR="008C12C7">
        <w:rPr>
          <w:rFonts w:ascii="Arial" w:hAnsi="Arial" w:cs="Arial"/>
          <w:sz w:val="24"/>
          <w:szCs w:val="24"/>
        </w:rPr>
        <w:t xml:space="preserve"> </w:t>
      </w:r>
      <w:r w:rsidR="008C12C7" w:rsidRPr="008C12C7">
        <w:rPr>
          <w:rFonts w:ascii="Arial" w:hAnsi="Arial" w:cs="Arial"/>
          <w:sz w:val="24"/>
          <w:szCs w:val="24"/>
        </w:rPr>
        <w:t>applicant and review of the applicant's file. The submission should set out the basis for contending that the client is entitled to refugee status or subsidiary protection. The submission should include a brief synopsis of the facts and link those facts to a statement of the law</w:t>
      </w:r>
      <w:r w:rsidR="008C12C7">
        <w:rPr>
          <w:rFonts w:ascii="Arial" w:hAnsi="Arial" w:cs="Arial"/>
          <w:sz w:val="24"/>
          <w:szCs w:val="24"/>
        </w:rPr>
        <w:t xml:space="preserve"> (see Best Practice Guidelines</w:t>
      </w:r>
      <w:r w:rsidR="007B198E">
        <w:rPr>
          <w:rFonts w:ascii="Arial" w:hAnsi="Arial" w:cs="Arial"/>
          <w:sz w:val="24"/>
          <w:szCs w:val="24"/>
        </w:rPr>
        <w:t xml:space="preserve"> for further guidance</w:t>
      </w:r>
      <w:r w:rsidR="008C12C7">
        <w:rPr>
          <w:rFonts w:ascii="Arial" w:hAnsi="Arial" w:cs="Arial"/>
          <w:sz w:val="24"/>
          <w:szCs w:val="24"/>
        </w:rPr>
        <w:t>)</w:t>
      </w:r>
      <w:r w:rsidR="008C12C7" w:rsidRPr="008C12C7">
        <w:rPr>
          <w:rFonts w:ascii="Arial" w:hAnsi="Arial" w:cs="Arial"/>
          <w:sz w:val="24"/>
          <w:szCs w:val="24"/>
        </w:rPr>
        <w:t>.</w:t>
      </w:r>
      <w:r w:rsidR="007B198E">
        <w:rPr>
          <w:rFonts w:ascii="Arial" w:hAnsi="Arial" w:cs="Arial"/>
          <w:sz w:val="24"/>
          <w:szCs w:val="24"/>
        </w:rPr>
        <w:t xml:space="preserve">  </w:t>
      </w:r>
      <w:r w:rsidR="008C12C7" w:rsidRPr="008C12C7">
        <w:rPr>
          <w:rFonts w:ascii="Arial" w:hAnsi="Arial" w:cs="Arial"/>
          <w:sz w:val="24"/>
          <w:szCs w:val="24"/>
        </w:rPr>
        <w:t xml:space="preserve">Submissions should also be made in relation to permission to remain. </w:t>
      </w:r>
    </w:p>
    <w:p w:rsidR="00B7565E" w:rsidRDefault="00BE51C2" w:rsidP="00AF27AD">
      <w:pPr>
        <w:pStyle w:val="ListParagraph"/>
        <w:numPr>
          <w:ilvl w:val="1"/>
          <w:numId w:val="1"/>
        </w:numPr>
        <w:rPr>
          <w:rFonts w:ascii="Arial" w:hAnsi="Arial" w:cs="Arial"/>
          <w:sz w:val="24"/>
          <w:szCs w:val="24"/>
        </w:rPr>
      </w:pPr>
      <w:r>
        <w:rPr>
          <w:rFonts w:ascii="Arial" w:hAnsi="Arial" w:cs="Arial"/>
          <w:sz w:val="24"/>
          <w:szCs w:val="24"/>
        </w:rPr>
        <w:t>Wh</w:t>
      </w:r>
      <w:r w:rsidR="00B7565E">
        <w:rPr>
          <w:rFonts w:ascii="Arial" w:hAnsi="Arial" w:cs="Arial"/>
          <w:sz w:val="24"/>
          <w:szCs w:val="24"/>
        </w:rPr>
        <w:t xml:space="preserve">ere </w:t>
      </w:r>
      <w:r w:rsidR="006621B0">
        <w:rPr>
          <w:rFonts w:ascii="Arial" w:hAnsi="Arial" w:cs="Arial"/>
          <w:sz w:val="24"/>
          <w:szCs w:val="24"/>
        </w:rPr>
        <w:t xml:space="preserve">the Barrister </w:t>
      </w:r>
      <w:r w:rsidR="00B7565E">
        <w:rPr>
          <w:rFonts w:ascii="Arial" w:hAnsi="Arial" w:cs="Arial"/>
          <w:sz w:val="24"/>
          <w:szCs w:val="24"/>
        </w:rPr>
        <w:t xml:space="preserve">considers that the applicant has grounds to appeal a negative </w:t>
      </w:r>
      <w:r w:rsidR="00A13CA1">
        <w:rPr>
          <w:rFonts w:ascii="Arial" w:hAnsi="Arial" w:cs="Arial"/>
          <w:sz w:val="24"/>
          <w:szCs w:val="24"/>
        </w:rPr>
        <w:t xml:space="preserve">recommendation of the IPO </w:t>
      </w:r>
      <w:r w:rsidR="00B7565E">
        <w:rPr>
          <w:rFonts w:ascii="Arial" w:hAnsi="Arial" w:cs="Arial"/>
          <w:sz w:val="24"/>
          <w:szCs w:val="24"/>
        </w:rPr>
        <w:t>to the International Protection Appeals Tribunal they shall:</w:t>
      </w:r>
    </w:p>
    <w:p w:rsidR="00B7565E" w:rsidRDefault="00B7565E" w:rsidP="00B7565E">
      <w:pPr>
        <w:pStyle w:val="ListParagraph"/>
        <w:numPr>
          <w:ilvl w:val="2"/>
          <w:numId w:val="1"/>
        </w:numPr>
        <w:rPr>
          <w:rFonts w:ascii="Arial" w:hAnsi="Arial" w:cs="Arial"/>
          <w:sz w:val="24"/>
          <w:szCs w:val="24"/>
        </w:rPr>
      </w:pPr>
      <w:r>
        <w:rPr>
          <w:rFonts w:ascii="Arial" w:hAnsi="Arial" w:cs="Arial"/>
          <w:sz w:val="24"/>
          <w:szCs w:val="24"/>
        </w:rPr>
        <w:t>Advise the applicant in relation to any appeal and take instructions</w:t>
      </w:r>
      <w:r w:rsidR="006F7191">
        <w:rPr>
          <w:rFonts w:ascii="Arial" w:hAnsi="Arial" w:cs="Arial"/>
          <w:sz w:val="24"/>
          <w:szCs w:val="24"/>
        </w:rPr>
        <w:t>;</w:t>
      </w:r>
    </w:p>
    <w:p w:rsidR="00467510" w:rsidRDefault="00B7565E" w:rsidP="00B7565E">
      <w:pPr>
        <w:pStyle w:val="ListParagraph"/>
        <w:numPr>
          <w:ilvl w:val="2"/>
          <w:numId w:val="1"/>
        </w:numPr>
        <w:rPr>
          <w:rFonts w:ascii="Arial" w:hAnsi="Arial" w:cs="Arial"/>
          <w:sz w:val="24"/>
          <w:szCs w:val="24"/>
        </w:rPr>
      </w:pPr>
      <w:r w:rsidRPr="00467510">
        <w:rPr>
          <w:rFonts w:ascii="Arial" w:hAnsi="Arial" w:cs="Arial"/>
          <w:sz w:val="24"/>
          <w:szCs w:val="24"/>
        </w:rPr>
        <w:t>If the applicant so instructs, they shall draft the notice of appeal</w:t>
      </w:r>
      <w:r w:rsidR="00A13CA1" w:rsidRPr="00467510">
        <w:rPr>
          <w:rFonts w:ascii="Arial" w:hAnsi="Arial" w:cs="Arial"/>
          <w:sz w:val="24"/>
          <w:szCs w:val="24"/>
        </w:rPr>
        <w:t xml:space="preserve"> </w:t>
      </w:r>
      <w:r w:rsidR="006F7191">
        <w:rPr>
          <w:rFonts w:ascii="Arial" w:hAnsi="Arial" w:cs="Arial"/>
          <w:sz w:val="24"/>
          <w:szCs w:val="24"/>
        </w:rPr>
        <w:t xml:space="preserve"> and furnish such draft to the</w:t>
      </w:r>
      <w:r w:rsidR="00467510">
        <w:rPr>
          <w:rFonts w:ascii="Arial" w:hAnsi="Arial" w:cs="Arial"/>
          <w:sz w:val="24"/>
          <w:szCs w:val="24"/>
        </w:rPr>
        <w:t xml:space="preserve"> instructing </w:t>
      </w:r>
      <w:r w:rsidR="006F7191">
        <w:rPr>
          <w:rFonts w:ascii="Arial" w:hAnsi="Arial" w:cs="Arial"/>
          <w:sz w:val="24"/>
          <w:szCs w:val="24"/>
        </w:rPr>
        <w:t xml:space="preserve">paralegal / </w:t>
      </w:r>
      <w:r w:rsidR="00467510">
        <w:rPr>
          <w:rFonts w:ascii="Arial" w:hAnsi="Arial" w:cs="Arial"/>
          <w:sz w:val="24"/>
          <w:szCs w:val="24"/>
        </w:rPr>
        <w:t>solicitor</w:t>
      </w:r>
      <w:r w:rsidR="00654B85">
        <w:rPr>
          <w:rFonts w:ascii="Arial" w:hAnsi="Arial" w:cs="Arial"/>
          <w:sz w:val="24"/>
          <w:szCs w:val="24"/>
        </w:rPr>
        <w:t xml:space="preserve"> in </w:t>
      </w:r>
      <w:r w:rsidR="00654B85">
        <w:rPr>
          <w:rFonts w:ascii="Arial" w:hAnsi="Arial" w:cs="Arial"/>
          <w:sz w:val="24"/>
          <w:szCs w:val="24"/>
        </w:rPr>
        <w:lastRenderedPageBreak/>
        <w:t>adequate time to enable the instructing paralegal / solicitor have the applicant review and sign the document</w:t>
      </w:r>
    </w:p>
    <w:p w:rsidR="00AF27AD" w:rsidRPr="00467510" w:rsidRDefault="00B7565E" w:rsidP="00B7565E">
      <w:pPr>
        <w:pStyle w:val="ListParagraph"/>
        <w:numPr>
          <w:ilvl w:val="2"/>
          <w:numId w:val="1"/>
        </w:numPr>
        <w:rPr>
          <w:rFonts w:ascii="Arial" w:hAnsi="Arial" w:cs="Arial"/>
          <w:sz w:val="24"/>
          <w:szCs w:val="24"/>
        </w:rPr>
      </w:pPr>
      <w:r w:rsidRPr="00467510">
        <w:rPr>
          <w:rFonts w:ascii="Arial" w:hAnsi="Arial" w:cs="Arial"/>
          <w:sz w:val="24"/>
          <w:szCs w:val="24"/>
        </w:rPr>
        <w:t>Represent the applicant before the Tribunal.</w:t>
      </w:r>
      <w:r w:rsidR="00BB56F0" w:rsidRPr="00467510">
        <w:rPr>
          <w:rFonts w:ascii="Arial" w:hAnsi="Arial" w:cs="Arial"/>
          <w:sz w:val="24"/>
          <w:szCs w:val="24"/>
        </w:rPr>
        <w:t xml:space="preserve"> </w:t>
      </w:r>
    </w:p>
    <w:p w:rsidR="00756832" w:rsidRDefault="00756832" w:rsidP="00756832">
      <w:pPr>
        <w:pStyle w:val="ListParagraph"/>
        <w:numPr>
          <w:ilvl w:val="1"/>
          <w:numId w:val="1"/>
        </w:numPr>
        <w:rPr>
          <w:rFonts w:ascii="Arial" w:hAnsi="Arial" w:cs="Arial"/>
          <w:sz w:val="24"/>
          <w:szCs w:val="24"/>
        </w:rPr>
      </w:pPr>
      <w:r>
        <w:rPr>
          <w:rFonts w:ascii="Arial" w:hAnsi="Arial" w:cs="Arial"/>
          <w:sz w:val="24"/>
          <w:szCs w:val="24"/>
        </w:rPr>
        <w:t xml:space="preserve">In the event of a negative </w:t>
      </w:r>
      <w:r w:rsidR="00A13CA1">
        <w:rPr>
          <w:rFonts w:ascii="Arial" w:hAnsi="Arial" w:cs="Arial"/>
          <w:sz w:val="24"/>
          <w:szCs w:val="24"/>
        </w:rPr>
        <w:t>recommendation in relation to refugee</w:t>
      </w:r>
      <w:r w:rsidR="006F7191">
        <w:rPr>
          <w:rFonts w:ascii="Arial" w:hAnsi="Arial" w:cs="Arial"/>
          <w:sz w:val="24"/>
          <w:szCs w:val="24"/>
        </w:rPr>
        <w:t xml:space="preserve"> </w:t>
      </w:r>
      <w:r w:rsidR="00A13CA1">
        <w:rPr>
          <w:rFonts w:ascii="Arial" w:hAnsi="Arial" w:cs="Arial"/>
          <w:sz w:val="24"/>
          <w:szCs w:val="24"/>
        </w:rPr>
        <w:t>/</w:t>
      </w:r>
      <w:r w:rsidR="006F7191">
        <w:rPr>
          <w:rFonts w:ascii="Arial" w:hAnsi="Arial" w:cs="Arial"/>
          <w:sz w:val="24"/>
          <w:szCs w:val="24"/>
        </w:rPr>
        <w:t xml:space="preserve"> </w:t>
      </w:r>
      <w:r w:rsidR="00A13CA1">
        <w:rPr>
          <w:rFonts w:ascii="Arial" w:hAnsi="Arial" w:cs="Arial"/>
          <w:sz w:val="24"/>
          <w:szCs w:val="24"/>
        </w:rPr>
        <w:t xml:space="preserve">subsidiary protection status </w:t>
      </w:r>
      <w:r>
        <w:rPr>
          <w:rFonts w:ascii="Arial" w:hAnsi="Arial" w:cs="Arial"/>
          <w:sz w:val="24"/>
          <w:szCs w:val="24"/>
        </w:rPr>
        <w:t xml:space="preserve">on appeal </w:t>
      </w:r>
      <w:r w:rsidR="00A13CA1">
        <w:rPr>
          <w:rFonts w:ascii="Arial" w:hAnsi="Arial" w:cs="Arial"/>
          <w:sz w:val="24"/>
          <w:szCs w:val="24"/>
        </w:rPr>
        <w:t xml:space="preserve">and a negative decision having been given in relation to permission to remain, </w:t>
      </w:r>
      <w:r>
        <w:rPr>
          <w:rFonts w:ascii="Arial" w:hAnsi="Arial" w:cs="Arial"/>
          <w:sz w:val="24"/>
          <w:szCs w:val="24"/>
        </w:rPr>
        <w:t>the barrister shall</w:t>
      </w:r>
      <w:r w:rsidR="00654B85">
        <w:rPr>
          <w:rFonts w:ascii="Arial" w:hAnsi="Arial" w:cs="Arial"/>
          <w:sz w:val="24"/>
          <w:szCs w:val="24"/>
        </w:rPr>
        <w:t>, when</w:t>
      </w:r>
      <w:r w:rsidR="00A13CA1">
        <w:rPr>
          <w:rFonts w:ascii="Arial" w:hAnsi="Arial" w:cs="Arial"/>
          <w:sz w:val="24"/>
          <w:szCs w:val="24"/>
        </w:rPr>
        <w:t xml:space="preserve"> instructed to do so,</w:t>
      </w:r>
      <w:r>
        <w:rPr>
          <w:rFonts w:ascii="Arial" w:hAnsi="Arial" w:cs="Arial"/>
          <w:sz w:val="24"/>
          <w:szCs w:val="24"/>
        </w:rPr>
        <w:t xml:space="preserve"> draft representations</w:t>
      </w:r>
      <w:r w:rsidR="00A13CA1">
        <w:rPr>
          <w:rFonts w:ascii="Arial" w:hAnsi="Arial" w:cs="Arial"/>
          <w:sz w:val="24"/>
          <w:szCs w:val="24"/>
        </w:rPr>
        <w:t xml:space="preserve"> to the Minister for Justi</w:t>
      </w:r>
      <w:r w:rsidR="006F7191">
        <w:rPr>
          <w:rFonts w:ascii="Arial" w:hAnsi="Arial" w:cs="Arial"/>
          <w:sz w:val="24"/>
          <w:szCs w:val="24"/>
        </w:rPr>
        <w:t xml:space="preserve">ce in relation </w:t>
      </w:r>
      <w:r w:rsidR="00FE5460">
        <w:rPr>
          <w:rFonts w:ascii="Arial" w:hAnsi="Arial" w:cs="Arial"/>
          <w:sz w:val="24"/>
          <w:szCs w:val="24"/>
        </w:rPr>
        <w:t xml:space="preserve">to </w:t>
      </w:r>
      <w:r w:rsidR="006F7191">
        <w:rPr>
          <w:rFonts w:ascii="Arial" w:hAnsi="Arial" w:cs="Arial"/>
          <w:sz w:val="24"/>
          <w:szCs w:val="24"/>
        </w:rPr>
        <w:t>a review of the</w:t>
      </w:r>
      <w:r w:rsidR="00A13CA1">
        <w:rPr>
          <w:rFonts w:ascii="Arial" w:hAnsi="Arial" w:cs="Arial"/>
          <w:sz w:val="24"/>
          <w:szCs w:val="24"/>
        </w:rPr>
        <w:t xml:space="preserve"> decision in relation to permission to remain in the State.</w:t>
      </w:r>
    </w:p>
    <w:p w:rsidR="00BE51C2" w:rsidRPr="00B7565E" w:rsidRDefault="00BE51C2" w:rsidP="00756832">
      <w:pPr>
        <w:pStyle w:val="ListParagraph"/>
        <w:numPr>
          <w:ilvl w:val="1"/>
          <w:numId w:val="1"/>
        </w:numPr>
        <w:rPr>
          <w:rFonts w:ascii="Arial" w:hAnsi="Arial" w:cs="Arial"/>
          <w:sz w:val="24"/>
          <w:szCs w:val="24"/>
        </w:rPr>
      </w:pPr>
      <w:r>
        <w:rPr>
          <w:rFonts w:ascii="Arial" w:hAnsi="Arial" w:cs="Arial"/>
          <w:sz w:val="24"/>
          <w:szCs w:val="24"/>
        </w:rPr>
        <w:t>In the event a Deportation Order is served on the applicant the barrister shall, where their instructing solicitor considers it appropriate and necessary, take instructions from the client and draft written representations as to why the applicant should not have a deportation order made in respect of them or submit grounds upon which the deportation order should be revoked.</w:t>
      </w:r>
    </w:p>
    <w:p w:rsidR="00120450" w:rsidRDefault="006621B0" w:rsidP="00EA0D6A">
      <w:pPr>
        <w:pStyle w:val="ListParagraph"/>
        <w:numPr>
          <w:ilvl w:val="1"/>
          <w:numId w:val="1"/>
        </w:numPr>
        <w:rPr>
          <w:rFonts w:ascii="Arial" w:hAnsi="Arial" w:cs="Arial"/>
          <w:sz w:val="24"/>
          <w:szCs w:val="24"/>
        </w:rPr>
      </w:pPr>
      <w:r>
        <w:rPr>
          <w:rFonts w:ascii="Arial" w:hAnsi="Arial" w:cs="Arial"/>
          <w:sz w:val="24"/>
          <w:szCs w:val="24"/>
        </w:rPr>
        <w:t>The B</w:t>
      </w:r>
      <w:r w:rsidR="00AF27AD">
        <w:rPr>
          <w:rFonts w:ascii="Arial" w:hAnsi="Arial" w:cs="Arial"/>
          <w:sz w:val="24"/>
          <w:szCs w:val="24"/>
        </w:rPr>
        <w:t>arrister shall furnish notes of all consultations</w:t>
      </w:r>
      <w:r w:rsidR="00BB56F0">
        <w:rPr>
          <w:rFonts w:ascii="Arial" w:hAnsi="Arial" w:cs="Arial"/>
          <w:sz w:val="24"/>
          <w:szCs w:val="24"/>
        </w:rPr>
        <w:t>, all letters written,</w:t>
      </w:r>
      <w:r w:rsidR="00AF27AD">
        <w:rPr>
          <w:rFonts w:ascii="Arial" w:hAnsi="Arial" w:cs="Arial"/>
          <w:sz w:val="24"/>
          <w:szCs w:val="24"/>
        </w:rPr>
        <w:t xml:space="preserve"> and a</w:t>
      </w:r>
      <w:r w:rsidR="006F7191">
        <w:rPr>
          <w:rFonts w:ascii="Arial" w:hAnsi="Arial" w:cs="Arial"/>
          <w:sz w:val="24"/>
          <w:szCs w:val="24"/>
        </w:rPr>
        <w:t>ll written advices given to the</w:t>
      </w:r>
      <w:r w:rsidR="00AF27AD">
        <w:rPr>
          <w:rFonts w:ascii="Arial" w:hAnsi="Arial" w:cs="Arial"/>
          <w:sz w:val="24"/>
          <w:szCs w:val="24"/>
        </w:rPr>
        <w:t xml:space="preserve"> instructing </w:t>
      </w:r>
      <w:r w:rsidR="006F7191">
        <w:rPr>
          <w:rFonts w:ascii="Arial" w:hAnsi="Arial" w:cs="Arial"/>
          <w:sz w:val="24"/>
          <w:szCs w:val="24"/>
        </w:rPr>
        <w:t xml:space="preserve">paralegal / </w:t>
      </w:r>
      <w:r w:rsidR="00AF27AD">
        <w:rPr>
          <w:rFonts w:ascii="Arial" w:hAnsi="Arial" w:cs="Arial"/>
          <w:sz w:val="24"/>
          <w:szCs w:val="24"/>
        </w:rPr>
        <w:t>solicitor.</w:t>
      </w:r>
      <w:r w:rsidR="00AA7436">
        <w:rPr>
          <w:rFonts w:ascii="Arial" w:hAnsi="Arial" w:cs="Arial"/>
          <w:sz w:val="24"/>
          <w:szCs w:val="24"/>
        </w:rPr>
        <w:t xml:space="preserve"> All such notes shall be clearly legible and ideally be typed.</w:t>
      </w:r>
      <w:r w:rsidR="00516EA7">
        <w:rPr>
          <w:rFonts w:ascii="Arial" w:hAnsi="Arial" w:cs="Arial"/>
          <w:sz w:val="24"/>
          <w:szCs w:val="24"/>
        </w:rPr>
        <w:t xml:space="preserve">  Such documentation should be in electronic form.</w:t>
      </w:r>
    </w:p>
    <w:p w:rsidR="00C22FDB" w:rsidRDefault="00C22FDB" w:rsidP="00C22FDB">
      <w:pPr>
        <w:pStyle w:val="ListParagraph"/>
        <w:ind w:left="1440"/>
        <w:rPr>
          <w:rFonts w:ascii="Arial" w:hAnsi="Arial" w:cs="Arial"/>
          <w:sz w:val="24"/>
          <w:szCs w:val="24"/>
        </w:rPr>
      </w:pPr>
    </w:p>
    <w:p w:rsidR="00C22FDB" w:rsidRDefault="00C22FDB" w:rsidP="00C22FDB">
      <w:pPr>
        <w:pStyle w:val="ListParagraph"/>
        <w:numPr>
          <w:ilvl w:val="0"/>
          <w:numId w:val="1"/>
        </w:numPr>
        <w:rPr>
          <w:rFonts w:ascii="Arial" w:hAnsi="Arial" w:cs="Arial"/>
          <w:sz w:val="24"/>
          <w:szCs w:val="24"/>
        </w:rPr>
      </w:pPr>
      <w:r>
        <w:rPr>
          <w:rFonts w:ascii="Arial" w:hAnsi="Arial" w:cs="Arial"/>
          <w:sz w:val="24"/>
          <w:szCs w:val="24"/>
        </w:rPr>
        <w:t xml:space="preserve">The law centre will </w:t>
      </w:r>
    </w:p>
    <w:p w:rsidR="00BE51C2" w:rsidRPr="00686B65" w:rsidRDefault="00BE51C2" w:rsidP="00C22FDB">
      <w:pPr>
        <w:pStyle w:val="ListParagraph"/>
        <w:numPr>
          <w:ilvl w:val="1"/>
          <w:numId w:val="1"/>
        </w:numPr>
        <w:rPr>
          <w:rFonts w:ascii="Arial" w:hAnsi="Arial" w:cs="Arial"/>
          <w:sz w:val="24"/>
          <w:szCs w:val="24"/>
        </w:rPr>
      </w:pPr>
      <w:r w:rsidRPr="00686B65">
        <w:rPr>
          <w:rFonts w:ascii="Arial" w:hAnsi="Arial" w:cs="Arial"/>
          <w:sz w:val="24"/>
          <w:szCs w:val="24"/>
        </w:rPr>
        <w:t>Furnish a brief to counsel comprising of:</w:t>
      </w:r>
    </w:p>
    <w:p w:rsidR="00BE51C2" w:rsidRDefault="00BE51C2" w:rsidP="00BE51C2">
      <w:pPr>
        <w:pStyle w:val="ListParagraph"/>
        <w:numPr>
          <w:ilvl w:val="2"/>
          <w:numId w:val="1"/>
        </w:numPr>
        <w:rPr>
          <w:rFonts w:ascii="Arial" w:hAnsi="Arial" w:cs="Arial"/>
          <w:sz w:val="24"/>
          <w:szCs w:val="24"/>
        </w:rPr>
      </w:pPr>
      <w:r>
        <w:rPr>
          <w:rFonts w:ascii="Arial" w:hAnsi="Arial" w:cs="Arial"/>
          <w:sz w:val="24"/>
          <w:szCs w:val="24"/>
        </w:rPr>
        <w:t xml:space="preserve">The applicant’s Application for International Protection </w:t>
      </w:r>
      <w:r w:rsidR="00952F81">
        <w:rPr>
          <w:rFonts w:ascii="Arial" w:hAnsi="Arial" w:cs="Arial"/>
          <w:sz w:val="24"/>
          <w:szCs w:val="24"/>
        </w:rPr>
        <w:t>Questionnaire</w:t>
      </w:r>
      <w:r w:rsidR="00FE5460">
        <w:rPr>
          <w:rFonts w:ascii="Arial" w:hAnsi="Arial" w:cs="Arial"/>
          <w:sz w:val="24"/>
          <w:szCs w:val="24"/>
        </w:rPr>
        <w:t xml:space="preserve"> (</w:t>
      </w:r>
      <w:r w:rsidR="00D56223">
        <w:rPr>
          <w:rFonts w:ascii="Arial" w:hAnsi="Arial" w:cs="Arial"/>
          <w:sz w:val="24"/>
          <w:szCs w:val="24"/>
        </w:rPr>
        <w:t>or immediately when this becomes available</w:t>
      </w:r>
      <w:r w:rsidR="00FE5460">
        <w:rPr>
          <w:rFonts w:ascii="Arial" w:hAnsi="Arial" w:cs="Arial"/>
          <w:sz w:val="24"/>
          <w:szCs w:val="24"/>
        </w:rPr>
        <w:t>)</w:t>
      </w:r>
    </w:p>
    <w:p w:rsidR="00BE51C2" w:rsidRDefault="00BE51C2" w:rsidP="00BE51C2">
      <w:pPr>
        <w:pStyle w:val="ListParagraph"/>
        <w:numPr>
          <w:ilvl w:val="2"/>
          <w:numId w:val="1"/>
        </w:numPr>
        <w:rPr>
          <w:rFonts w:ascii="Arial" w:hAnsi="Arial" w:cs="Arial"/>
          <w:sz w:val="24"/>
          <w:szCs w:val="24"/>
        </w:rPr>
      </w:pPr>
      <w:r>
        <w:rPr>
          <w:rFonts w:ascii="Arial" w:hAnsi="Arial" w:cs="Arial"/>
          <w:sz w:val="24"/>
          <w:szCs w:val="24"/>
        </w:rPr>
        <w:t>A note of the information/advices given at key stage 1</w:t>
      </w:r>
    </w:p>
    <w:p w:rsidR="00BE51C2" w:rsidRPr="00BE51C2" w:rsidRDefault="00686B65" w:rsidP="00BE51C2">
      <w:pPr>
        <w:pStyle w:val="ListParagraph"/>
        <w:numPr>
          <w:ilvl w:val="2"/>
          <w:numId w:val="1"/>
        </w:numPr>
        <w:rPr>
          <w:rFonts w:ascii="Arial" w:hAnsi="Arial" w:cs="Arial"/>
          <w:sz w:val="24"/>
          <w:szCs w:val="24"/>
        </w:rPr>
      </w:pPr>
      <w:r>
        <w:rPr>
          <w:rFonts w:ascii="Arial" w:hAnsi="Arial" w:cs="Arial"/>
          <w:sz w:val="24"/>
          <w:szCs w:val="24"/>
        </w:rPr>
        <w:t>Any relevant COI information obtained by the law centre prior to the brief to Counsel being furnished</w:t>
      </w:r>
      <w:r w:rsidR="006F7191">
        <w:rPr>
          <w:rFonts w:ascii="Arial" w:hAnsi="Arial" w:cs="Arial"/>
          <w:sz w:val="24"/>
          <w:szCs w:val="24"/>
        </w:rPr>
        <w:t>;</w:t>
      </w:r>
    </w:p>
    <w:p w:rsidR="00C22FDB" w:rsidRDefault="00C22FDB" w:rsidP="00C22FDB">
      <w:pPr>
        <w:pStyle w:val="ListParagraph"/>
        <w:numPr>
          <w:ilvl w:val="1"/>
          <w:numId w:val="1"/>
        </w:numPr>
        <w:rPr>
          <w:rFonts w:ascii="Arial" w:hAnsi="Arial" w:cs="Arial"/>
          <w:sz w:val="24"/>
          <w:szCs w:val="24"/>
        </w:rPr>
      </w:pPr>
      <w:r>
        <w:rPr>
          <w:rFonts w:ascii="Arial" w:hAnsi="Arial" w:cs="Arial"/>
          <w:sz w:val="24"/>
          <w:szCs w:val="24"/>
        </w:rPr>
        <w:t>Attend the barrister in consultations</w:t>
      </w:r>
      <w:r w:rsidR="009A37D0">
        <w:rPr>
          <w:rFonts w:ascii="Arial" w:hAnsi="Arial" w:cs="Arial"/>
          <w:sz w:val="24"/>
          <w:szCs w:val="24"/>
        </w:rPr>
        <w:t xml:space="preserve"> and at the International Protection Appeals Tribunal</w:t>
      </w:r>
      <w:r w:rsidR="006F7191">
        <w:rPr>
          <w:rFonts w:ascii="Arial" w:hAnsi="Arial" w:cs="Arial"/>
          <w:sz w:val="24"/>
          <w:szCs w:val="24"/>
        </w:rPr>
        <w:t>;</w:t>
      </w:r>
    </w:p>
    <w:p w:rsidR="00C22FDB" w:rsidRDefault="00C22FDB" w:rsidP="00C22FDB">
      <w:pPr>
        <w:pStyle w:val="ListParagraph"/>
        <w:numPr>
          <w:ilvl w:val="1"/>
          <w:numId w:val="1"/>
        </w:numPr>
        <w:rPr>
          <w:rFonts w:ascii="Arial" w:hAnsi="Arial" w:cs="Arial"/>
          <w:sz w:val="24"/>
          <w:szCs w:val="24"/>
        </w:rPr>
      </w:pPr>
      <w:r>
        <w:rPr>
          <w:rFonts w:ascii="Arial" w:hAnsi="Arial" w:cs="Arial"/>
          <w:sz w:val="24"/>
          <w:szCs w:val="24"/>
        </w:rPr>
        <w:t>Send any correspondence required</w:t>
      </w:r>
      <w:r w:rsidR="009A37D0">
        <w:rPr>
          <w:rFonts w:ascii="Arial" w:hAnsi="Arial" w:cs="Arial"/>
          <w:sz w:val="24"/>
          <w:szCs w:val="24"/>
        </w:rPr>
        <w:t xml:space="preserve"> </w:t>
      </w:r>
      <w:r w:rsidR="00952F81">
        <w:rPr>
          <w:rFonts w:ascii="Arial" w:hAnsi="Arial" w:cs="Arial"/>
          <w:sz w:val="24"/>
          <w:szCs w:val="24"/>
        </w:rPr>
        <w:t>based on drafts furnished by Counsel</w:t>
      </w:r>
      <w:r w:rsidR="006F7191">
        <w:rPr>
          <w:rFonts w:ascii="Arial" w:hAnsi="Arial" w:cs="Arial"/>
          <w:sz w:val="24"/>
          <w:szCs w:val="24"/>
        </w:rPr>
        <w:t>;</w:t>
      </w:r>
    </w:p>
    <w:p w:rsidR="009A37D0" w:rsidRDefault="009A37D0" w:rsidP="00C22FDB">
      <w:pPr>
        <w:pStyle w:val="ListParagraph"/>
        <w:numPr>
          <w:ilvl w:val="1"/>
          <w:numId w:val="1"/>
        </w:numPr>
        <w:rPr>
          <w:rFonts w:ascii="Arial" w:hAnsi="Arial" w:cs="Arial"/>
          <w:sz w:val="24"/>
          <w:szCs w:val="24"/>
        </w:rPr>
      </w:pPr>
      <w:r>
        <w:rPr>
          <w:rFonts w:ascii="Arial" w:hAnsi="Arial" w:cs="Arial"/>
          <w:sz w:val="24"/>
          <w:szCs w:val="24"/>
        </w:rPr>
        <w:t>Where necessary, submit the Notice of Appeal drafted by the barrister to the Tribunal</w:t>
      </w:r>
      <w:r w:rsidR="006F7191">
        <w:rPr>
          <w:rFonts w:ascii="Arial" w:hAnsi="Arial" w:cs="Arial"/>
          <w:sz w:val="24"/>
          <w:szCs w:val="24"/>
        </w:rPr>
        <w:t>;</w:t>
      </w:r>
    </w:p>
    <w:p w:rsidR="00467510" w:rsidRDefault="00467510" w:rsidP="00C22FDB">
      <w:pPr>
        <w:pStyle w:val="ListParagraph"/>
        <w:numPr>
          <w:ilvl w:val="1"/>
          <w:numId w:val="1"/>
        </w:numPr>
        <w:rPr>
          <w:rFonts w:ascii="Arial" w:hAnsi="Arial" w:cs="Arial"/>
          <w:sz w:val="24"/>
          <w:szCs w:val="24"/>
        </w:rPr>
      </w:pPr>
      <w:r>
        <w:rPr>
          <w:rFonts w:ascii="Arial" w:hAnsi="Arial" w:cs="Arial"/>
          <w:sz w:val="24"/>
          <w:szCs w:val="24"/>
        </w:rPr>
        <w:t xml:space="preserve">Make any submissions to the Board’s Decision Making </w:t>
      </w:r>
      <w:r w:rsidR="006F7191">
        <w:rPr>
          <w:rFonts w:ascii="Arial" w:hAnsi="Arial" w:cs="Arial"/>
          <w:sz w:val="24"/>
          <w:szCs w:val="24"/>
        </w:rPr>
        <w:t>function</w:t>
      </w:r>
      <w:r>
        <w:rPr>
          <w:rFonts w:ascii="Arial" w:hAnsi="Arial" w:cs="Arial"/>
          <w:sz w:val="24"/>
          <w:szCs w:val="24"/>
        </w:rPr>
        <w:t xml:space="preserve"> for any additional services that are required</w:t>
      </w:r>
      <w:r w:rsidR="006F7191">
        <w:rPr>
          <w:rFonts w:ascii="Arial" w:hAnsi="Arial" w:cs="Arial"/>
          <w:sz w:val="24"/>
          <w:szCs w:val="24"/>
        </w:rPr>
        <w:t>; and</w:t>
      </w:r>
    </w:p>
    <w:p w:rsidR="009A37D0" w:rsidRPr="009A37D0" w:rsidRDefault="009A37D0" w:rsidP="009A37D0">
      <w:pPr>
        <w:pStyle w:val="ListParagraph"/>
        <w:numPr>
          <w:ilvl w:val="1"/>
          <w:numId w:val="1"/>
        </w:numPr>
        <w:rPr>
          <w:rFonts w:ascii="Arial" w:hAnsi="Arial" w:cs="Arial"/>
          <w:sz w:val="24"/>
          <w:szCs w:val="24"/>
        </w:rPr>
      </w:pPr>
      <w:r>
        <w:rPr>
          <w:rFonts w:ascii="Arial" w:hAnsi="Arial" w:cs="Arial"/>
          <w:sz w:val="24"/>
          <w:szCs w:val="24"/>
        </w:rPr>
        <w:t>Maintain a file on the matter</w:t>
      </w:r>
    </w:p>
    <w:p w:rsidR="00C22FDB" w:rsidRDefault="00C22FDB" w:rsidP="00C22FDB">
      <w:pPr>
        <w:pStyle w:val="ListParagraph"/>
        <w:rPr>
          <w:rFonts w:ascii="Arial" w:hAnsi="Arial" w:cs="Arial"/>
          <w:sz w:val="24"/>
          <w:szCs w:val="24"/>
        </w:rPr>
      </w:pPr>
    </w:p>
    <w:p w:rsidR="00BB56F0" w:rsidRDefault="00BB56F0" w:rsidP="00BB56F0">
      <w:pPr>
        <w:pStyle w:val="ListParagraph"/>
        <w:numPr>
          <w:ilvl w:val="0"/>
          <w:numId w:val="1"/>
        </w:numPr>
        <w:rPr>
          <w:rFonts w:ascii="Arial" w:hAnsi="Arial" w:cs="Arial"/>
          <w:sz w:val="24"/>
          <w:szCs w:val="24"/>
        </w:rPr>
      </w:pPr>
      <w:r>
        <w:rPr>
          <w:rFonts w:ascii="Arial" w:hAnsi="Arial" w:cs="Arial"/>
          <w:sz w:val="24"/>
          <w:szCs w:val="24"/>
        </w:rPr>
        <w:t xml:space="preserve">Where </w:t>
      </w:r>
      <w:r w:rsidR="006621B0">
        <w:rPr>
          <w:rFonts w:ascii="Arial" w:hAnsi="Arial" w:cs="Arial"/>
          <w:sz w:val="24"/>
          <w:szCs w:val="24"/>
        </w:rPr>
        <w:t xml:space="preserve">a Barrister </w:t>
      </w:r>
      <w:r>
        <w:rPr>
          <w:rFonts w:ascii="Arial" w:hAnsi="Arial" w:cs="Arial"/>
          <w:sz w:val="24"/>
          <w:szCs w:val="24"/>
        </w:rPr>
        <w:t xml:space="preserve">considers that the obtaining of appropriate country of origin information </w:t>
      </w:r>
      <w:r w:rsidR="00686B65">
        <w:rPr>
          <w:rFonts w:ascii="Arial" w:hAnsi="Arial" w:cs="Arial"/>
          <w:sz w:val="24"/>
          <w:szCs w:val="24"/>
        </w:rPr>
        <w:t xml:space="preserve">(additional to that supplied as part of the Barrister’s brief) </w:t>
      </w:r>
      <w:r>
        <w:rPr>
          <w:rFonts w:ascii="Arial" w:hAnsi="Arial" w:cs="Arial"/>
          <w:sz w:val="24"/>
          <w:szCs w:val="24"/>
        </w:rPr>
        <w:t xml:space="preserve">would be advantageous to the </w:t>
      </w:r>
      <w:r w:rsidR="006621B0">
        <w:rPr>
          <w:rFonts w:ascii="Arial" w:hAnsi="Arial" w:cs="Arial"/>
          <w:sz w:val="24"/>
          <w:szCs w:val="24"/>
        </w:rPr>
        <w:t>applicant’s</w:t>
      </w:r>
      <w:r>
        <w:rPr>
          <w:rFonts w:ascii="Arial" w:hAnsi="Arial" w:cs="Arial"/>
          <w:sz w:val="24"/>
          <w:szCs w:val="24"/>
        </w:rPr>
        <w:t xml:space="preserve"> case </w:t>
      </w:r>
      <w:r w:rsidR="006621B0">
        <w:rPr>
          <w:rFonts w:ascii="Arial" w:hAnsi="Arial" w:cs="Arial"/>
          <w:sz w:val="24"/>
          <w:szCs w:val="24"/>
        </w:rPr>
        <w:t xml:space="preserve">the Barrister </w:t>
      </w:r>
      <w:r>
        <w:rPr>
          <w:rFonts w:ascii="Arial" w:hAnsi="Arial" w:cs="Arial"/>
          <w:sz w:val="24"/>
          <w:szCs w:val="24"/>
        </w:rPr>
        <w:t>may request such information through the Board’s Refugee Documentation Centre</w:t>
      </w:r>
      <w:r w:rsidR="00105FA2">
        <w:rPr>
          <w:rFonts w:ascii="Arial" w:hAnsi="Arial" w:cs="Arial"/>
          <w:sz w:val="24"/>
          <w:szCs w:val="24"/>
        </w:rPr>
        <w:t xml:space="preserve">. This service is free of charge for barristers who are carrying out legal aid work and can be contacted at 01 4776250 or by email to </w:t>
      </w:r>
      <w:hyperlink r:id="rId9" w:history="1">
        <w:r w:rsidR="008B0749" w:rsidRPr="00F3302C">
          <w:rPr>
            <w:rStyle w:val="Hyperlink"/>
            <w:rFonts w:ascii="Arial" w:hAnsi="Arial" w:cs="Arial"/>
            <w:sz w:val="24"/>
            <w:szCs w:val="24"/>
          </w:rPr>
          <w:t>rdc@legalaidboard.ie</w:t>
        </w:r>
      </w:hyperlink>
      <w:r w:rsidR="00105FA2">
        <w:rPr>
          <w:rFonts w:ascii="Arial" w:hAnsi="Arial" w:cs="Arial"/>
          <w:sz w:val="24"/>
          <w:szCs w:val="24"/>
        </w:rPr>
        <w:t xml:space="preserve"> </w:t>
      </w:r>
      <w:r w:rsidR="008B0749">
        <w:rPr>
          <w:rFonts w:ascii="Arial" w:hAnsi="Arial" w:cs="Arial"/>
          <w:sz w:val="24"/>
          <w:szCs w:val="24"/>
        </w:rPr>
        <w:t xml:space="preserve">. An online </w:t>
      </w:r>
      <w:r w:rsidR="008B0749">
        <w:rPr>
          <w:rFonts w:ascii="Arial" w:hAnsi="Arial" w:cs="Arial"/>
          <w:sz w:val="24"/>
          <w:szCs w:val="24"/>
        </w:rPr>
        <w:lastRenderedPageBreak/>
        <w:t xml:space="preserve">query form is available on the Board’s website under “Lawyers and Experts </w:t>
      </w:r>
      <w:r w:rsidR="008B0749" w:rsidRPr="008B0749">
        <w:rPr>
          <w:rFonts w:ascii="Arial" w:hAnsi="Arial" w:cs="Arial"/>
          <w:sz w:val="24"/>
          <w:szCs w:val="24"/>
        </w:rPr>
        <w:sym w:font="Wingdings" w:char="F0E0"/>
      </w:r>
      <w:r w:rsidR="008B0749">
        <w:rPr>
          <w:rFonts w:ascii="Arial" w:hAnsi="Arial" w:cs="Arial"/>
          <w:sz w:val="24"/>
          <w:szCs w:val="24"/>
        </w:rPr>
        <w:t xml:space="preserve"> Refugee Documentation Centre”</w:t>
      </w:r>
    </w:p>
    <w:p w:rsidR="00BB56F0" w:rsidRDefault="00BB56F0" w:rsidP="00BB56F0">
      <w:pPr>
        <w:pStyle w:val="ListParagraph"/>
        <w:rPr>
          <w:rFonts w:ascii="Arial" w:hAnsi="Arial" w:cs="Arial"/>
          <w:sz w:val="24"/>
          <w:szCs w:val="24"/>
        </w:rPr>
      </w:pPr>
    </w:p>
    <w:p w:rsidR="00C22FDB" w:rsidRDefault="00C22FDB" w:rsidP="00C22FDB">
      <w:pPr>
        <w:pStyle w:val="ListParagraph"/>
        <w:numPr>
          <w:ilvl w:val="0"/>
          <w:numId w:val="1"/>
        </w:numPr>
        <w:rPr>
          <w:rFonts w:ascii="Arial" w:hAnsi="Arial" w:cs="Arial"/>
          <w:sz w:val="24"/>
          <w:szCs w:val="24"/>
        </w:rPr>
      </w:pPr>
      <w:r>
        <w:rPr>
          <w:rFonts w:ascii="Arial" w:hAnsi="Arial" w:cs="Arial"/>
          <w:sz w:val="24"/>
          <w:szCs w:val="24"/>
        </w:rPr>
        <w:t>Where a Barrister considers that the obtaining of a medico-legal report is nec</w:t>
      </w:r>
      <w:r w:rsidR="006F7191">
        <w:rPr>
          <w:rFonts w:ascii="Arial" w:hAnsi="Arial" w:cs="Arial"/>
          <w:sz w:val="24"/>
          <w:szCs w:val="24"/>
        </w:rPr>
        <w:t>essary they should contact the</w:t>
      </w:r>
      <w:r>
        <w:rPr>
          <w:rFonts w:ascii="Arial" w:hAnsi="Arial" w:cs="Arial"/>
          <w:sz w:val="24"/>
          <w:szCs w:val="24"/>
        </w:rPr>
        <w:t xml:space="preserve"> instructing </w:t>
      </w:r>
      <w:r w:rsidR="006F7191">
        <w:rPr>
          <w:rFonts w:ascii="Arial" w:hAnsi="Arial" w:cs="Arial"/>
          <w:sz w:val="24"/>
          <w:szCs w:val="24"/>
        </w:rPr>
        <w:t xml:space="preserve">paralegal / </w:t>
      </w:r>
      <w:r>
        <w:rPr>
          <w:rFonts w:ascii="Arial" w:hAnsi="Arial" w:cs="Arial"/>
          <w:sz w:val="24"/>
          <w:szCs w:val="24"/>
        </w:rPr>
        <w:t xml:space="preserve">solicitor who will </w:t>
      </w:r>
      <w:r w:rsidR="006F7191">
        <w:rPr>
          <w:rFonts w:ascii="Arial" w:hAnsi="Arial" w:cs="Arial"/>
          <w:sz w:val="24"/>
          <w:szCs w:val="24"/>
        </w:rPr>
        <w:t>seek the</w:t>
      </w:r>
      <w:r>
        <w:rPr>
          <w:rFonts w:ascii="Arial" w:hAnsi="Arial" w:cs="Arial"/>
          <w:sz w:val="24"/>
          <w:szCs w:val="24"/>
        </w:rPr>
        <w:t xml:space="preserve"> appropriate authority from the Board for such a report. (It is not envisaged that authority would be refused in circumstances where Counsel recommended the obtaining of such a report). </w:t>
      </w:r>
    </w:p>
    <w:p w:rsidR="00C22FDB" w:rsidRDefault="00C22FDB" w:rsidP="00C22FDB">
      <w:pPr>
        <w:pStyle w:val="ListParagraph"/>
        <w:jc w:val="center"/>
        <w:rPr>
          <w:rFonts w:ascii="Arial" w:hAnsi="Arial" w:cs="Arial"/>
          <w:sz w:val="24"/>
          <w:szCs w:val="24"/>
        </w:rPr>
      </w:pPr>
    </w:p>
    <w:p w:rsidR="00C22FDB" w:rsidRPr="003B3622" w:rsidRDefault="00C22FDB" w:rsidP="00C22FDB">
      <w:pPr>
        <w:pStyle w:val="ListParagraph"/>
        <w:numPr>
          <w:ilvl w:val="0"/>
          <w:numId w:val="1"/>
        </w:numPr>
        <w:rPr>
          <w:rFonts w:ascii="Arial" w:hAnsi="Arial" w:cs="Arial"/>
          <w:sz w:val="24"/>
          <w:szCs w:val="24"/>
        </w:rPr>
      </w:pPr>
      <w:r w:rsidRPr="003B3622">
        <w:rPr>
          <w:rFonts w:ascii="Arial" w:hAnsi="Arial" w:cs="Arial"/>
          <w:sz w:val="24"/>
          <w:szCs w:val="24"/>
        </w:rPr>
        <w:t>Where an applicant wishes to apply for legal aid to appeal a decision in relation to the material reception conditions under Regulation 21 of the European Communities (Recepti</w:t>
      </w:r>
      <w:r>
        <w:rPr>
          <w:rFonts w:ascii="Arial" w:hAnsi="Arial" w:cs="Arial"/>
          <w:sz w:val="24"/>
          <w:szCs w:val="24"/>
        </w:rPr>
        <w:t>on Conditions) Regulations 2018 the Barrister is required to seek an amendment to the legal aid certificate through their instructing</w:t>
      </w:r>
      <w:r w:rsidR="00654B85">
        <w:rPr>
          <w:rFonts w:ascii="Arial" w:hAnsi="Arial" w:cs="Arial"/>
          <w:sz w:val="24"/>
          <w:szCs w:val="24"/>
        </w:rPr>
        <w:t xml:space="preserve"> paralegal /</w:t>
      </w:r>
      <w:r>
        <w:rPr>
          <w:rFonts w:ascii="Arial" w:hAnsi="Arial" w:cs="Arial"/>
          <w:sz w:val="24"/>
          <w:szCs w:val="24"/>
        </w:rPr>
        <w:t xml:space="preserve"> solicitor before carrying out any work in relation to the appeal.</w:t>
      </w:r>
    </w:p>
    <w:p w:rsidR="00C22FDB" w:rsidRDefault="00C22FDB" w:rsidP="00C22FDB">
      <w:pPr>
        <w:pStyle w:val="ListParagraph"/>
        <w:rPr>
          <w:rFonts w:ascii="Arial" w:hAnsi="Arial" w:cs="Arial"/>
          <w:sz w:val="24"/>
          <w:szCs w:val="24"/>
        </w:rPr>
      </w:pPr>
    </w:p>
    <w:p w:rsidR="00C22FDB" w:rsidRPr="00DA7A96" w:rsidRDefault="00952F81" w:rsidP="00C22FDB">
      <w:pPr>
        <w:pStyle w:val="ListParagraph"/>
        <w:numPr>
          <w:ilvl w:val="0"/>
          <w:numId w:val="1"/>
        </w:numPr>
        <w:rPr>
          <w:rFonts w:ascii="Arial" w:hAnsi="Arial" w:cs="Arial"/>
          <w:sz w:val="24"/>
          <w:szCs w:val="24"/>
        </w:rPr>
      </w:pPr>
      <w:r>
        <w:rPr>
          <w:rFonts w:ascii="Arial" w:hAnsi="Arial" w:cs="Arial"/>
          <w:sz w:val="24"/>
          <w:szCs w:val="24"/>
        </w:rPr>
        <w:t xml:space="preserve">It is envisaged that consultations will generally take place in the law centre. The barrister will be attended by the </w:t>
      </w:r>
      <w:r w:rsidR="006C39E0">
        <w:rPr>
          <w:rFonts w:ascii="Arial" w:hAnsi="Arial" w:cs="Arial"/>
          <w:sz w:val="24"/>
          <w:szCs w:val="24"/>
        </w:rPr>
        <w:t xml:space="preserve">paralegal </w:t>
      </w:r>
      <w:r>
        <w:rPr>
          <w:rFonts w:ascii="Arial" w:hAnsi="Arial" w:cs="Arial"/>
          <w:sz w:val="24"/>
          <w:szCs w:val="24"/>
        </w:rPr>
        <w:t xml:space="preserve">who will arrange for the availability of a room in the law centre. </w:t>
      </w:r>
    </w:p>
    <w:p w:rsidR="00C22FDB" w:rsidRDefault="00C22FDB" w:rsidP="00C22FDB">
      <w:pPr>
        <w:pStyle w:val="ListParagraph"/>
        <w:rPr>
          <w:rFonts w:ascii="Arial" w:hAnsi="Arial" w:cs="Arial"/>
          <w:sz w:val="24"/>
          <w:szCs w:val="24"/>
        </w:rPr>
      </w:pPr>
    </w:p>
    <w:p w:rsidR="00C22FDB" w:rsidRDefault="00C22FDB" w:rsidP="00C22FDB">
      <w:pPr>
        <w:pStyle w:val="ListParagraph"/>
        <w:numPr>
          <w:ilvl w:val="0"/>
          <w:numId w:val="1"/>
        </w:numPr>
        <w:rPr>
          <w:rFonts w:ascii="Arial" w:hAnsi="Arial" w:cs="Arial"/>
          <w:sz w:val="24"/>
          <w:szCs w:val="24"/>
        </w:rPr>
      </w:pPr>
      <w:r>
        <w:rPr>
          <w:rFonts w:ascii="Arial" w:hAnsi="Arial" w:cs="Arial"/>
          <w:sz w:val="24"/>
          <w:szCs w:val="24"/>
        </w:rPr>
        <w:t>The law centre will upon request arrange for the provision of an interpreter where the applicant’s first language is not English.</w:t>
      </w:r>
      <w:r>
        <w:rPr>
          <w:rFonts w:ascii="Arial" w:hAnsi="Arial" w:cs="Arial"/>
          <w:sz w:val="24"/>
          <w:szCs w:val="24"/>
        </w:rPr>
        <w:br/>
      </w:r>
    </w:p>
    <w:p w:rsidR="009664BB" w:rsidRPr="001026E3" w:rsidRDefault="00AA7436" w:rsidP="009664BB">
      <w:pPr>
        <w:pStyle w:val="ListParagraph"/>
        <w:numPr>
          <w:ilvl w:val="0"/>
          <w:numId w:val="1"/>
        </w:numPr>
        <w:rPr>
          <w:rFonts w:ascii="Arial" w:hAnsi="Arial" w:cs="Arial"/>
          <w:sz w:val="24"/>
          <w:szCs w:val="24"/>
        </w:rPr>
      </w:pPr>
      <w:r>
        <w:rPr>
          <w:rFonts w:ascii="Arial" w:hAnsi="Arial" w:cs="Arial"/>
          <w:sz w:val="24"/>
          <w:szCs w:val="24"/>
        </w:rPr>
        <w:t>Barristers will upon receipt of a duly completed claim form be paid a fee for services provided in accordance with the table below.</w:t>
      </w:r>
      <w:r w:rsidR="006621B0">
        <w:rPr>
          <w:rFonts w:ascii="Arial" w:hAnsi="Arial" w:cs="Arial"/>
          <w:sz w:val="24"/>
          <w:szCs w:val="24"/>
        </w:rPr>
        <w:t xml:space="preserve"> Where a fee is payable for a particular stage of the international protection process then it can be claimed following completion of that stage in accordance with the Schedule below</w:t>
      </w:r>
      <w:r w:rsidR="009664BB">
        <w:rPr>
          <w:rFonts w:ascii="Arial" w:hAnsi="Arial" w:cs="Arial"/>
          <w:sz w:val="24"/>
          <w:szCs w:val="24"/>
        </w:rPr>
        <w:t>.</w:t>
      </w:r>
      <w:r w:rsidR="001026E3">
        <w:rPr>
          <w:rFonts w:ascii="Arial" w:hAnsi="Arial" w:cs="Arial"/>
          <w:sz w:val="24"/>
          <w:szCs w:val="24"/>
        </w:rPr>
        <w:br/>
      </w:r>
    </w:p>
    <w:p w:rsidR="003B3622" w:rsidRDefault="009664BB" w:rsidP="001026E3">
      <w:pPr>
        <w:pStyle w:val="ListParagraph"/>
        <w:numPr>
          <w:ilvl w:val="0"/>
          <w:numId w:val="1"/>
        </w:numPr>
        <w:rPr>
          <w:rFonts w:ascii="Arial" w:hAnsi="Arial" w:cs="Arial"/>
          <w:sz w:val="24"/>
          <w:szCs w:val="24"/>
        </w:rPr>
      </w:pPr>
      <w:r>
        <w:rPr>
          <w:rFonts w:ascii="Arial" w:hAnsi="Arial" w:cs="Arial"/>
          <w:sz w:val="24"/>
          <w:szCs w:val="24"/>
        </w:rPr>
        <w:t xml:space="preserve">A Barrister may at any time, </w:t>
      </w:r>
      <w:r w:rsidR="001026E3">
        <w:rPr>
          <w:rFonts w:ascii="Arial" w:hAnsi="Arial" w:cs="Arial"/>
          <w:sz w:val="24"/>
          <w:szCs w:val="24"/>
        </w:rPr>
        <w:t xml:space="preserve">by </w:t>
      </w:r>
      <w:r>
        <w:rPr>
          <w:rFonts w:ascii="Arial" w:hAnsi="Arial" w:cs="Arial"/>
          <w:sz w:val="24"/>
          <w:szCs w:val="24"/>
        </w:rPr>
        <w:t xml:space="preserve">informing the Board, remove their name from the </w:t>
      </w:r>
      <w:r w:rsidR="00A13CA1">
        <w:rPr>
          <w:rFonts w:ascii="Arial" w:hAnsi="Arial" w:cs="Arial"/>
          <w:sz w:val="24"/>
          <w:szCs w:val="24"/>
        </w:rPr>
        <w:t>sub-panel</w:t>
      </w:r>
      <w:r>
        <w:rPr>
          <w:rFonts w:ascii="Arial" w:hAnsi="Arial" w:cs="Arial"/>
          <w:sz w:val="24"/>
          <w:szCs w:val="24"/>
        </w:rPr>
        <w:t xml:space="preserve"> established on foot of this Addendum. In such cases the provisions of </w:t>
      </w:r>
      <w:r w:rsidR="001026E3">
        <w:rPr>
          <w:rFonts w:ascii="Arial" w:hAnsi="Arial" w:cs="Arial"/>
          <w:sz w:val="24"/>
          <w:szCs w:val="24"/>
        </w:rPr>
        <w:t>Paragraph 19 of the main body of the terms and conditions shall apply to the completion of any remaining cases on hand that the Barrister has accepted on foot of this Addendum.</w:t>
      </w:r>
      <w:r w:rsidR="003B3622">
        <w:rPr>
          <w:rFonts w:ascii="Arial" w:hAnsi="Arial" w:cs="Arial"/>
          <w:sz w:val="24"/>
          <w:szCs w:val="24"/>
        </w:rPr>
        <w:br/>
      </w:r>
    </w:p>
    <w:p w:rsidR="009664BB" w:rsidRDefault="003B3622" w:rsidP="001026E3">
      <w:pPr>
        <w:pStyle w:val="ListParagraph"/>
        <w:numPr>
          <w:ilvl w:val="0"/>
          <w:numId w:val="1"/>
        </w:numPr>
        <w:rPr>
          <w:rFonts w:ascii="Arial" w:hAnsi="Arial" w:cs="Arial"/>
          <w:sz w:val="24"/>
          <w:szCs w:val="24"/>
        </w:rPr>
      </w:pPr>
      <w:r>
        <w:rPr>
          <w:rFonts w:ascii="Arial" w:hAnsi="Arial" w:cs="Arial"/>
          <w:sz w:val="24"/>
          <w:szCs w:val="24"/>
        </w:rPr>
        <w:t>The provisions of the Terms and Conditions of the Barristers Panel apply to cases referred on foot of this Addendum save as added to or modified by this Addendum.</w:t>
      </w:r>
      <w:r>
        <w:rPr>
          <w:rFonts w:ascii="Arial" w:hAnsi="Arial" w:cs="Arial"/>
          <w:sz w:val="24"/>
          <w:szCs w:val="24"/>
        </w:rPr>
        <w:br/>
      </w:r>
    </w:p>
    <w:p w:rsidR="003B3622" w:rsidRPr="003B3622" w:rsidRDefault="003B3622" w:rsidP="003B3622">
      <w:pPr>
        <w:rPr>
          <w:rFonts w:ascii="Arial" w:hAnsi="Arial" w:cs="Arial"/>
          <w:sz w:val="24"/>
          <w:szCs w:val="24"/>
        </w:rPr>
        <w:sectPr w:rsidR="003B3622" w:rsidRPr="003B362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rsidR="006621B0" w:rsidRDefault="006621B0" w:rsidP="006621B0">
      <w:pPr>
        <w:rPr>
          <w:rFonts w:ascii="Arial" w:hAnsi="Arial" w:cs="Arial"/>
          <w:b/>
          <w:sz w:val="24"/>
          <w:szCs w:val="24"/>
        </w:rPr>
      </w:pPr>
      <w:r>
        <w:rPr>
          <w:rFonts w:ascii="Arial" w:hAnsi="Arial" w:cs="Arial"/>
          <w:b/>
          <w:sz w:val="24"/>
          <w:szCs w:val="24"/>
        </w:rPr>
        <w:lastRenderedPageBreak/>
        <w:t>Schedule</w:t>
      </w:r>
    </w:p>
    <w:tbl>
      <w:tblPr>
        <w:tblStyle w:val="TableGrid"/>
        <w:tblW w:w="5000" w:type="pct"/>
        <w:tblLook w:val="04A0" w:firstRow="1" w:lastRow="0" w:firstColumn="1" w:lastColumn="0" w:noHBand="0" w:noVBand="1"/>
      </w:tblPr>
      <w:tblGrid>
        <w:gridCol w:w="2942"/>
        <w:gridCol w:w="3955"/>
        <w:gridCol w:w="3450"/>
        <w:gridCol w:w="1466"/>
        <w:gridCol w:w="1213"/>
        <w:gridCol w:w="1148"/>
      </w:tblGrid>
      <w:tr w:rsidR="006621B0" w:rsidRPr="00DA7371" w:rsidTr="006621B0">
        <w:trPr>
          <w:trHeight w:val="154"/>
        </w:trPr>
        <w:tc>
          <w:tcPr>
            <w:tcW w:w="1038" w:type="pct"/>
            <w:vMerge w:val="restart"/>
          </w:tcPr>
          <w:p w:rsidR="006621B0" w:rsidRPr="00DA7371" w:rsidRDefault="006621B0" w:rsidP="006621B0">
            <w:pPr>
              <w:rPr>
                <w:rFonts w:ascii="Arial" w:hAnsi="Arial" w:cs="Arial"/>
                <w:b/>
              </w:rPr>
            </w:pPr>
            <w:r w:rsidRPr="00DA7371">
              <w:rPr>
                <w:rFonts w:ascii="Arial" w:hAnsi="Arial" w:cs="Arial"/>
                <w:b/>
              </w:rPr>
              <w:t>Case Stage</w:t>
            </w:r>
          </w:p>
        </w:tc>
        <w:tc>
          <w:tcPr>
            <w:tcW w:w="1395" w:type="pct"/>
            <w:vMerge w:val="restart"/>
          </w:tcPr>
          <w:p w:rsidR="006621B0" w:rsidRPr="00DA7371" w:rsidRDefault="006621B0" w:rsidP="006621B0">
            <w:pPr>
              <w:rPr>
                <w:rFonts w:ascii="Arial" w:hAnsi="Arial" w:cs="Arial"/>
                <w:b/>
              </w:rPr>
            </w:pPr>
            <w:r w:rsidRPr="00DA7371">
              <w:rPr>
                <w:rFonts w:ascii="Arial" w:hAnsi="Arial" w:cs="Arial"/>
                <w:b/>
              </w:rPr>
              <w:t>This fee covers</w:t>
            </w:r>
          </w:p>
        </w:tc>
        <w:tc>
          <w:tcPr>
            <w:tcW w:w="1217" w:type="pct"/>
            <w:vMerge w:val="restart"/>
          </w:tcPr>
          <w:p w:rsidR="006621B0" w:rsidRPr="00DA7371" w:rsidRDefault="006621B0" w:rsidP="006621B0">
            <w:pPr>
              <w:rPr>
                <w:rFonts w:ascii="Arial" w:hAnsi="Arial" w:cs="Arial"/>
                <w:b/>
              </w:rPr>
            </w:pPr>
            <w:r w:rsidRPr="00DA7371">
              <w:rPr>
                <w:rFonts w:ascii="Arial" w:hAnsi="Arial" w:cs="Arial"/>
                <w:b/>
              </w:rPr>
              <w:t>Fee can be claimed when</w:t>
            </w:r>
          </w:p>
        </w:tc>
        <w:tc>
          <w:tcPr>
            <w:tcW w:w="1350" w:type="pct"/>
            <w:gridSpan w:val="3"/>
          </w:tcPr>
          <w:p w:rsidR="006621B0" w:rsidRPr="00DA7371" w:rsidRDefault="006621B0" w:rsidP="006621B0">
            <w:pPr>
              <w:jc w:val="center"/>
              <w:rPr>
                <w:rFonts w:ascii="Arial" w:hAnsi="Arial" w:cs="Arial"/>
                <w:b/>
              </w:rPr>
            </w:pPr>
            <w:r w:rsidRPr="00DA7371">
              <w:rPr>
                <w:rFonts w:ascii="Arial" w:hAnsi="Arial" w:cs="Arial"/>
                <w:b/>
              </w:rPr>
              <w:t>Fees</w:t>
            </w:r>
          </w:p>
        </w:tc>
      </w:tr>
      <w:tr w:rsidR="006621B0" w:rsidRPr="00DA7371" w:rsidTr="006621B0">
        <w:trPr>
          <w:trHeight w:val="154"/>
        </w:trPr>
        <w:tc>
          <w:tcPr>
            <w:tcW w:w="1038" w:type="pct"/>
            <w:vMerge/>
          </w:tcPr>
          <w:p w:rsidR="006621B0" w:rsidRPr="00DA7371" w:rsidRDefault="006621B0" w:rsidP="006621B0">
            <w:pPr>
              <w:rPr>
                <w:rFonts w:ascii="Arial" w:hAnsi="Arial" w:cs="Arial"/>
                <w:b/>
              </w:rPr>
            </w:pPr>
          </w:p>
        </w:tc>
        <w:tc>
          <w:tcPr>
            <w:tcW w:w="1395" w:type="pct"/>
            <w:vMerge/>
          </w:tcPr>
          <w:p w:rsidR="006621B0" w:rsidRPr="00DA7371" w:rsidRDefault="006621B0" w:rsidP="006621B0">
            <w:pPr>
              <w:rPr>
                <w:rFonts w:ascii="Arial" w:hAnsi="Arial" w:cs="Arial"/>
                <w:b/>
              </w:rPr>
            </w:pPr>
          </w:p>
        </w:tc>
        <w:tc>
          <w:tcPr>
            <w:tcW w:w="1217" w:type="pct"/>
            <w:vMerge/>
          </w:tcPr>
          <w:p w:rsidR="006621B0" w:rsidRPr="00DA7371" w:rsidRDefault="006621B0" w:rsidP="006621B0">
            <w:pPr>
              <w:rPr>
                <w:rFonts w:ascii="Arial" w:hAnsi="Arial" w:cs="Arial"/>
                <w:b/>
              </w:rPr>
            </w:pPr>
          </w:p>
        </w:tc>
        <w:tc>
          <w:tcPr>
            <w:tcW w:w="517" w:type="pct"/>
          </w:tcPr>
          <w:p w:rsidR="006621B0" w:rsidRPr="006B29C3" w:rsidRDefault="006621B0" w:rsidP="006621B0">
            <w:pPr>
              <w:rPr>
                <w:rFonts w:ascii="Arial" w:hAnsi="Arial" w:cs="Arial"/>
                <w:b/>
                <w:sz w:val="20"/>
                <w:szCs w:val="20"/>
              </w:rPr>
            </w:pPr>
            <w:r w:rsidRPr="006B29C3">
              <w:rPr>
                <w:rFonts w:ascii="Arial" w:hAnsi="Arial" w:cs="Arial"/>
                <w:b/>
                <w:sz w:val="20"/>
                <w:szCs w:val="20"/>
              </w:rPr>
              <w:t>Applicant</w:t>
            </w:r>
          </w:p>
        </w:tc>
        <w:tc>
          <w:tcPr>
            <w:tcW w:w="428" w:type="pct"/>
          </w:tcPr>
          <w:p w:rsidR="006621B0" w:rsidRPr="006B29C3" w:rsidRDefault="006621B0" w:rsidP="006621B0">
            <w:pPr>
              <w:rPr>
                <w:rFonts w:ascii="Arial" w:hAnsi="Arial" w:cs="Arial"/>
                <w:b/>
                <w:sz w:val="20"/>
                <w:szCs w:val="20"/>
              </w:rPr>
            </w:pPr>
            <w:r w:rsidRPr="006B29C3">
              <w:rPr>
                <w:rFonts w:ascii="Arial" w:hAnsi="Arial" w:cs="Arial"/>
                <w:b/>
                <w:sz w:val="20"/>
                <w:szCs w:val="20"/>
              </w:rPr>
              <w:t>Spouse</w:t>
            </w:r>
          </w:p>
        </w:tc>
        <w:tc>
          <w:tcPr>
            <w:tcW w:w="405" w:type="pct"/>
          </w:tcPr>
          <w:p w:rsidR="006621B0" w:rsidRPr="006B29C3" w:rsidRDefault="006621B0" w:rsidP="006621B0">
            <w:pPr>
              <w:rPr>
                <w:rFonts w:ascii="Arial" w:hAnsi="Arial" w:cs="Arial"/>
                <w:b/>
                <w:sz w:val="20"/>
                <w:szCs w:val="20"/>
              </w:rPr>
            </w:pPr>
            <w:r w:rsidRPr="006B29C3">
              <w:rPr>
                <w:rFonts w:ascii="Arial" w:hAnsi="Arial" w:cs="Arial"/>
                <w:b/>
                <w:sz w:val="20"/>
                <w:szCs w:val="20"/>
              </w:rPr>
              <w:t>Child</w:t>
            </w:r>
          </w:p>
        </w:tc>
      </w:tr>
      <w:tr w:rsidR="006621B0" w:rsidRPr="00DA7371" w:rsidTr="006621B0">
        <w:tc>
          <w:tcPr>
            <w:tcW w:w="1038" w:type="pct"/>
          </w:tcPr>
          <w:p w:rsidR="006621B0" w:rsidRPr="00FF6038" w:rsidRDefault="006621B0" w:rsidP="006621B0">
            <w:pPr>
              <w:pStyle w:val="ListParagraph"/>
              <w:numPr>
                <w:ilvl w:val="0"/>
                <w:numId w:val="2"/>
              </w:numPr>
              <w:rPr>
                <w:rFonts w:ascii="Arial" w:hAnsi="Arial" w:cs="Arial"/>
                <w:b/>
              </w:rPr>
            </w:pPr>
            <w:r w:rsidRPr="00FF6038">
              <w:rPr>
                <w:rFonts w:ascii="Arial" w:hAnsi="Arial" w:cs="Arial"/>
                <w:b/>
              </w:rPr>
              <w:t>Application for International Protection Questionnaire</w:t>
            </w:r>
          </w:p>
        </w:tc>
        <w:tc>
          <w:tcPr>
            <w:tcW w:w="1395" w:type="pct"/>
          </w:tcPr>
          <w:p w:rsidR="006621B0" w:rsidRPr="00DA7371" w:rsidRDefault="006621B0" w:rsidP="006621B0">
            <w:pPr>
              <w:rPr>
                <w:rFonts w:ascii="Arial" w:hAnsi="Arial" w:cs="Arial"/>
              </w:rPr>
            </w:pPr>
            <w:r w:rsidRPr="00DA7371">
              <w:rPr>
                <w:rFonts w:ascii="Arial" w:hAnsi="Arial" w:cs="Arial"/>
              </w:rPr>
              <w:t>Assistance with the making an application for international protection and permission to remain in the State, including advice in relation to the provision of material reception conditions</w:t>
            </w:r>
            <w:r>
              <w:rPr>
                <w:rFonts w:ascii="Arial" w:hAnsi="Arial" w:cs="Arial"/>
              </w:rPr>
              <w:t xml:space="preserve"> and access to the labour market</w:t>
            </w:r>
            <w:r w:rsidRPr="00DA7371">
              <w:rPr>
                <w:rFonts w:ascii="Arial" w:hAnsi="Arial" w:cs="Arial"/>
              </w:rPr>
              <w:t>.</w:t>
            </w:r>
          </w:p>
          <w:p w:rsidR="006621B0" w:rsidRPr="00DA7371" w:rsidRDefault="006621B0" w:rsidP="006621B0">
            <w:pPr>
              <w:rPr>
                <w:rFonts w:ascii="Arial" w:hAnsi="Arial" w:cs="Arial"/>
              </w:rPr>
            </w:pPr>
          </w:p>
        </w:tc>
        <w:tc>
          <w:tcPr>
            <w:tcW w:w="1217" w:type="pct"/>
          </w:tcPr>
          <w:p w:rsidR="006621B0" w:rsidRPr="00DA7371" w:rsidRDefault="006621B0" w:rsidP="006621B0">
            <w:pPr>
              <w:rPr>
                <w:rFonts w:ascii="Arial" w:hAnsi="Arial" w:cs="Arial"/>
              </w:rPr>
            </w:pPr>
            <w:r w:rsidRPr="00DA7371">
              <w:rPr>
                <w:rFonts w:ascii="Arial" w:hAnsi="Arial" w:cs="Arial"/>
              </w:rPr>
              <w:t>An applicant’s Application for International Protection Questionnaire has been submitted to the International Protection Office</w:t>
            </w:r>
          </w:p>
          <w:p w:rsidR="006621B0" w:rsidRPr="00DA7371" w:rsidRDefault="006621B0" w:rsidP="006621B0">
            <w:pPr>
              <w:rPr>
                <w:rFonts w:ascii="Arial" w:hAnsi="Arial" w:cs="Arial"/>
              </w:rPr>
            </w:pPr>
          </w:p>
          <w:p w:rsidR="006621B0" w:rsidRPr="00DA7371" w:rsidRDefault="006621B0" w:rsidP="00B51952">
            <w:pPr>
              <w:rPr>
                <w:rFonts w:ascii="Arial" w:hAnsi="Arial" w:cs="Arial"/>
              </w:rPr>
            </w:pPr>
            <w:r w:rsidRPr="00DA7371">
              <w:rPr>
                <w:rFonts w:ascii="Arial" w:hAnsi="Arial" w:cs="Arial"/>
              </w:rPr>
              <w:t xml:space="preserve">This fee shall also be claimable when </w:t>
            </w:r>
            <w:r w:rsidR="00B51952">
              <w:rPr>
                <w:rFonts w:ascii="Arial" w:hAnsi="Arial" w:cs="Arial"/>
              </w:rPr>
              <w:t>the barrister is briefed</w:t>
            </w:r>
            <w:r w:rsidRPr="00DA7371">
              <w:rPr>
                <w:rFonts w:ascii="Arial" w:hAnsi="Arial" w:cs="Arial"/>
              </w:rPr>
              <w:t xml:space="preserve"> after the questionnaire has been submitted, but, following </w:t>
            </w:r>
            <w:r w:rsidR="00B51952">
              <w:rPr>
                <w:rFonts w:ascii="Arial" w:hAnsi="Arial" w:cs="Arial"/>
              </w:rPr>
              <w:t xml:space="preserve">a consultation with the applicant </w:t>
            </w:r>
            <w:r w:rsidRPr="00DA7371">
              <w:rPr>
                <w:rFonts w:ascii="Arial" w:hAnsi="Arial" w:cs="Arial"/>
              </w:rPr>
              <w:t xml:space="preserve">the </w:t>
            </w:r>
            <w:r w:rsidR="00B51952">
              <w:rPr>
                <w:rFonts w:ascii="Arial" w:hAnsi="Arial" w:cs="Arial"/>
              </w:rPr>
              <w:t xml:space="preserve">barrister </w:t>
            </w:r>
            <w:r w:rsidRPr="00DA7371">
              <w:rPr>
                <w:rFonts w:ascii="Arial" w:hAnsi="Arial" w:cs="Arial"/>
              </w:rPr>
              <w:t>forms the view that it is necessary to submit an amendment to the questionnaire to the IPO and does so.</w:t>
            </w:r>
          </w:p>
        </w:tc>
        <w:tc>
          <w:tcPr>
            <w:tcW w:w="517" w:type="pct"/>
          </w:tcPr>
          <w:p w:rsidR="006621B0" w:rsidRPr="00DA7371" w:rsidRDefault="00B51952" w:rsidP="006621B0">
            <w:pPr>
              <w:rPr>
                <w:rFonts w:ascii="Arial" w:hAnsi="Arial" w:cs="Arial"/>
                <w:b/>
              </w:rPr>
            </w:pPr>
            <w:r>
              <w:rPr>
                <w:rFonts w:ascii="Arial" w:hAnsi="Arial" w:cs="Arial"/>
                <w:b/>
              </w:rPr>
              <w:t>€300</w:t>
            </w:r>
          </w:p>
        </w:tc>
        <w:tc>
          <w:tcPr>
            <w:tcW w:w="428" w:type="pct"/>
          </w:tcPr>
          <w:p w:rsidR="006621B0" w:rsidRPr="00DA7371" w:rsidRDefault="00B51952" w:rsidP="006621B0">
            <w:pPr>
              <w:rPr>
                <w:rFonts w:ascii="Arial" w:hAnsi="Arial" w:cs="Arial"/>
                <w:b/>
              </w:rPr>
            </w:pPr>
            <w:r>
              <w:rPr>
                <w:rFonts w:ascii="Arial" w:hAnsi="Arial" w:cs="Arial"/>
                <w:b/>
              </w:rPr>
              <w:t>€150</w:t>
            </w:r>
          </w:p>
        </w:tc>
        <w:tc>
          <w:tcPr>
            <w:tcW w:w="405" w:type="pct"/>
          </w:tcPr>
          <w:p w:rsidR="006621B0" w:rsidRPr="00DA7371" w:rsidRDefault="00B51952" w:rsidP="006621B0">
            <w:pPr>
              <w:rPr>
                <w:rFonts w:ascii="Arial" w:hAnsi="Arial" w:cs="Arial"/>
                <w:b/>
              </w:rPr>
            </w:pPr>
            <w:r>
              <w:rPr>
                <w:rFonts w:ascii="Arial" w:hAnsi="Arial" w:cs="Arial"/>
                <w:b/>
              </w:rPr>
              <w:t>€85</w:t>
            </w:r>
          </w:p>
        </w:tc>
      </w:tr>
      <w:tr w:rsidR="006621B0" w:rsidRPr="00DA7371" w:rsidTr="006621B0">
        <w:tc>
          <w:tcPr>
            <w:tcW w:w="1038" w:type="pct"/>
          </w:tcPr>
          <w:p w:rsidR="006621B0" w:rsidRPr="00FF6038" w:rsidRDefault="006621B0" w:rsidP="006621B0">
            <w:pPr>
              <w:pStyle w:val="ListParagraph"/>
              <w:numPr>
                <w:ilvl w:val="0"/>
                <w:numId w:val="2"/>
              </w:numPr>
              <w:rPr>
                <w:rFonts w:ascii="Arial" w:hAnsi="Arial" w:cs="Arial"/>
                <w:b/>
              </w:rPr>
            </w:pPr>
            <w:r w:rsidRPr="00FF6038">
              <w:rPr>
                <w:rFonts w:ascii="Arial" w:hAnsi="Arial" w:cs="Arial"/>
                <w:b/>
              </w:rPr>
              <w:t>Personal Interview</w:t>
            </w:r>
          </w:p>
        </w:tc>
        <w:tc>
          <w:tcPr>
            <w:tcW w:w="1395" w:type="pct"/>
          </w:tcPr>
          <w:p w:rsidR="006621B0" w:rsidRPr="00DA7371" w:rsidRDefault="006621B0" w:rsidP="006621B0">
            <w:pPr>
              <w:rPr>
                <w:rFonts w:ascii="Arial" w:hAnsi="Arial" w:cs="Arial"/>
                <w:b/>
              </w:rPr>
            </w:pPr>
            <w:r w:rsidRPr="00DA7371">
              <w:rPr>
                <w:rFonts w:ascii="Arial" w:hAnsi="Arial" w:cs="Arial"/>
              </w:rPr>
              <w:t>This fee covers the provision of legal advice in relation to a personal interview with an international protection officer including the making of submissions in relation to international protection and permission to remain and the obtaining of country of origin information.</w:t>
            </w:r>
          </w:p>
        </w:tc>
        <w:tc>
          <w:tcPr>
            <w:tcW w:w="1217" w:type="pct"/>
          </w:tcPr>
          <w:p w:rsidR="006621B0" w:rsidRPr="00DA7371" w:rsidRDefault="006621B0" w:rsidP="006621B0">
            <w:pPr>
              <w:rPr>
                <w:rFonts w:ascii="Arial" w:hAnsi="Arial" w:cs="Arial"/>
              </w:rPr>
            </w:pPr>
            <w:r w:rsidRPr="00DA7371">
              <w:rPr>
                <w:rFonts w:ascii="Arial" w:hAnsi="Arial" w:cs="Arial"/>
              </w:rPr>
              <w:t>An international protection officer makes a recommendation to the Minister in relation to an applicant’s application for international protection</w:t>
            </w:r>
          </w:p>
        </w:tc>
        <w:tc>
          <w:tcPr>
            <w:tcW w:w="517" w:type="pct"/>
          </w:tcPr>
          <w:p w:rsidR="006621B0" w:rsidRPr="00DA7371" w:rsidRDefault="00B51952" w:rsidP="006621B0">
            <w:pPr>
              <w:rPr>
                <w:rFonts w:ascii="Arial" w:hAnsi="Arial" w:cs="Arial"/>
                <w:b/>
              </w:rPr>
            </w:pPr>
            <w:r>
              <w:rPr>
                <w:rFonts w:ascii="Arial" w:hAnsi="Arial" w:cs="Arial"/>
                <w:b/>
              </w:rPr>
              <w:t>€300</w:t>
            </w:r>
          </w:p>
        </w:tc>
        <w:tc>
          <w:tcPr>
            <w:tcW w:w="428" w:type="pct"/>
          </w:tcPr>
          <w:p w:rsidR="006621B0" w:rsidRPr="00DA7371" w:rsidRDefault="00B51952" w:rsidP="006621B0">
            <w:pPr>
              <w:rPr>
                <w:rFonts w:ascii="Arial" w:hAnsi="Arial" w:cs="Arial"/>
                <w:b/>
              </w:rPr>
            </w:pPr>
            <w:r>
              <w:rPr>
                <w:rFonts w:ascii="Arial" w:hAnsi="Arial" w:cs="Arial"/>
                <w:b/>
              </w:rPr>
              <w:t>€150</w:t>
            </w:r>
          </w:p>
        </w:tc>
        <w:tc>
          <w:tcPr>
            <w:tcW w:w="405" w:type="pct"/>
          </w:tcPr>
          <w:p w:rsidR="006621B0" w:rsidRPr="00DA7371" w:rsidRDefault="00B51952" w:rsidP="006621B0">
            <w:pPr>
              <w:rPr>
                <w:rFonts w:ascii="Arial" w:hAnsi="Arial" w:cs="Arial"/>
                <w:b/>
              </w:rPr>
            </w:pPr>
            <w:r>
              <w:rPr>
                <w:rFonts w:ascii="Arial" w:hAnsi="Arial" w:cs="Arial"/>
                <w:b/>
              </w:rPr>
              <w:t>€85</w:t>
            </w:r>
          </w:p>
        </w:tc>
      </w:tr>
      <w:tr w:rsidR="00E632BE" w:rsidRPr="00DA7371" w:rsidTr="00E632BE">
        <w:tc>
          <w:tcPr>
            <w:tcW w:w="1038" w:type="pct"/>
          </w:tcPr>
          <w:p w:rsidR="00E632BE" w:rsidRPr="00FF6038" w:rsidRDefault="00E632BE" w:rsidP="006621B0">
            <w:pPr>
              <w:pStyle w:val="ListParagraph"/>
              <w:numPr>
                <w:ilvl w:val="0"/>
                <w:numId w:val="2"/>
              </w:numPr>
              <w:rPr>
                <w:rFonts w:ascii="Arial" w:hAnsi="Arial" w:cs="Arial"/>
                <w:b/>
              </w:rPr>
            </w:pPr>
            <w:r w:rsidRPr="00DA7371">
              <w:rPr>
                <w:rFonts w:ascii="Arial" w:hAnsi="Arial" w:cs="Arial"/>
                <w:b/>
              </w:rPr>
              <w:t>Appeal to the International Protection Appeals Tribunal</w:t>
            </w:r>
          </w:p>
        </w:tc>
        <w:tc>
          <w:tcPr>
            <w:tcW w:w="1395" w:type="pct"/>
          </w:tcPr>
          <w:p w:rsidR="00E632BE" w:rsidRPr="00DA7371" w:rsidRDefault="00E632BE" w:rsidP="006B6F82">
            <w:pPr>
              <w:rPr>
                <w:rFonts w:ascii="Arial" w:hAnsi="Arial" w:cs="Arial"/>
              </w:rPr>
            </w:pPr>
            <w:r w:rsidRPr="00DA7371">
              <w:rPr>
                <w:rFonts w:ascii="Arial" w:hAnsi="Arial" w:cs="Arial"/>
              </w:rPr>
              <w:t xml:space="preserve">This fee covers the drafting of a notice of appeal, legal submissions, and advocacy before the Tribunal. </w:t>
            </w:r>
          </w:p>
          <w:p w:rsidR="00E632BE" w:rsidRPr="00DA7371" w:rsidRDefault="00E632BE" w:rsidP="006621B0">
            <w:pPr>
              <w:rPr>
                <w:rFonts w:ascii="Arial" w:hAnsi="Arial" w:cs="Arial"/>
              </w:rPr>
            </w:pPr>
          </w:p>
        </w:tc>
        <w:tc>
          <w:tcPr>
            <w:tcW w:w="1217" w:type="pct"/>
          </w:tcPr>
          <w:p w:rsidR="00E632BE" w:rsidRPr="00DA7371" w:rsidRDefault="00E632BE" w:rsidP="006621B0">
            <w:pPr>
              <w:rPr>
                <w:rFonts w:ascii="Arial" w:hAnsi="Arial" w:cs="Arial"/>
              </w:rPr>
            </w:pPr>
            <w:r w:rsidRPr="00DA7371">
              <w:rPr>
                <w:rFonts w:ascii="Arial" w:hAnsi="Arial" w:cs="Arial"/>
              </w:rPr>
              <w:t xml:space="preserve">The Tribunal decides to uphold or overturn the recommendation of the international protection officer </w:t>
            </w:r>
          </w:p>
        </w:tc>
        <w:tc>
          <w:tcPr>
            <w:tcW w:w="517" w:type="pct"/>
            <w:vAlign w:val="center"/>
          </w:tcPr>
          <w:p w:rsidR="00E632BE" w:rsidRDefault="00E632BE" w:rsidP="006621B0">
            <w:pPr>
              <w:rPr>
                <w:rFonts w:ascii="Arial" w:hAnsi="Arial" w:cs="Arial"/>
                <w:b/>
              </w:rPr>
            </w:pPr>
            <w:r>
              <w:rPr>
                <w:rFonts w:ascii="Arial" w:hAnsi="Arial" w:cs="Arial"/>
                <w:b/>
              </w:rPr>
              <w:t>€400</w:t>
            </w:r>
          </w:p>
        </w:tc>
        <w:tc>
          <w:tcPr>
            <w:tcW w:w="428" w:type="pct"/>
            <w:vAlign w:val="center"/>
          </w:tcPr>
          <w:p w:rsidR="00E632BE" w:rsidRDefault="00E632BE" w:rsidP="006621B0">
            <w:pPr>
              <w:rPr>
                <w:rFonts w:ascii="Arial" w:hAnsi="Arial" w:cs="Arial"/>
                <w:b/>
              </w:rPr>
            </w:pPr>
            <w:r>
              <w:rPr>
                <w:rFonts w:ascii="Arial" w:hAnsi="Arial" w:cs="Arial"/>
                <w:b/>
              </w:rPr>
              <w:t>€200</w:t>
            </w:r>
          </w:p>
        </w:tc>
        <w:tc>
          <w:tcPr>
            <w:tcW w:w="405" w:type="pct"/>
            <w:vAlign w:val="center"/>
          </w:tcPr>
          <w:p w:rsidR="00E632BE" w:rsidRDefault="00E632BE" w:rsidP="006621B0">
            <w:pPr>
              <w:rPr>
                <w:rFonts w:ascii="Arial" w:hAnsi="Arial" w:cs="Arial"/>
                <w:b/>
              </w:rPr>
            </w:pPr>
            <w:r>
              <w:rPr>
                <w:rFonts w:ascii="Arial" w:hAnsi="Arial" w:cs="Arial"/>
                <w:b/>
              </w:rPr>
              <w:t>€80</w:t>
            </w:r>
          </w:p>
        </w:tc>
      </w:tr>
      <w:tr w:rsidR="00E632BE" w:rsidRPr="00DA7371" w:rsidTr="006621B0">
        <w:tc>
          <w:tcPr>
            <w:tcW w:w="1038" w:type="pct"/>
          </w:tcPr>
          <w:p w:rsidR="00E632BE" w:rsidRPr="00E632BE" w:rsidRDefault="00E632BE" w:rsidP="00E632BE">
            <w:pPr>
              <w:rPr>
                <w:rFonts w:ascii="Arial" w:hAnsi="Arial" w:cs="Arial"/>
                <w:b/>
              </w:rPr>
            </w:pPr>
          </w:p>
        </w:tc>
        <w:tc>
          <w:tcPr>
            <w:tcW w:w="1395" w:type="pct"/>
          </w:tcPr>
          <w:p w:rsidR="00E632BE" w:rsidRPr="00DA7371" w:rsidRDefault="00E632BE" w:rsidP="006621B0">
            <w:pPr>
              <w:rPr>
                <w:rFonts w:ascii="Arial" w:hAnsi="Arial" w:cs="Arial"/>
              </w:rPr>
            </w:pPr>
          </w:p>
        </w:tc>
        <w:tc>
          <w:tcPr>
            <w:tcW w:w="1217" w:type="pct"/>
          </w:tcPr>
          <w:p w:rsidR="00E632BE" w:rsidRPr="00DA7371" w:rsidRDefault="00E632BE" w:rsidP="006621B0">
            <w:pPr>
              <w:rPr>
                <w:rFonts w:ascii="Arial" w:hAnsi="Arial" w:cs="Arial"/>
              </w:rPr>
            </w:pPr>
            <w:r w:rsidRPr="00E632BE">
              <w:rPr>
                <w:rFonts w:ascii="Arial" w:hAnsi="Arial" w:cs="Arial"/>
              </w:rPr>
              <w:t xml:space="preserve">Where the accelerated appeal procedure under section 43 IPA applies and there is no oral </w:t>
            </w:r>
            <w:r w:rsidRPr="00E632BE">
              <w:rPr>
                <w:rFonts w:ascii="Arial" w:hAnsi="Arial" w:cs="Arial"/>
              </w:rPr>
              <w:lastRenderedPageBreak/>
              <w:t>hearing, a reduced fee shall be payable.</w:t>
            </w:r>
          </w:p>
        </w:tc>
        <w:tc>
          <w:tcPr>
            <w:tcW w:w="517" w:type="pct"/>
          </w:tcPr>
          <w:p w:rsidR="00E632BE" w:rsidRDefault="00E632BE" w:rsidP="006621B0">
            <w:pPr>
              <w:rPr>
                <w:rFonts w:ascii="Arial" w:hAnsi="Arial" w:cs="Arial"/>
                <w:b/>
              </w:rPr>
            </w:pPr>
            <w:r>
              <w:rPr>
                <w:rFonts w:ascii="Arial" w:hAnsi="Arial" w:cs="Arial"/>
                <w:b/>
              </w:rPr>
              <w:lastRenderedPageBreak/>
              <w:t>€250</w:t>
            </w:r>
          </w:p>
        </w:tc>
        <w:tc>
          <w:tcPr>
            <w:tcW w:w="428" w:type="pct"/>
          </w:tcPr>
          <w:p w:rsidR="00E632BE" w:rsidRDefault="00E632BE" w:rsidP="006621B0">
            <w:pPr>
              <w:rPr>
                <w:rFonts w:ascii="Arial" w:hAnsi="Arial" w:cs="Arial"/>
                <w:b/>
              </w:rPr>
            </w:pPr>
            <w:r>
              <w:rPr>
                <w:rFonts w:ascii="Arial" w:hAnsi="Arial" w:cs="Arial"/>
                <w:b/>
              </w:rPr>
              <w:t>€175</w:t>
            </w:r>
          </w:p>
        </w:tc>
        <w:tc>
          <w:tcPr>
            <w:tcW w:w="405" w:type="pct"/>
          </w:tcPr>
          <w:p w:rsidR="00E632BE" w:rsidRDefault="00E632BE" w:rsidP="006621B0">
            <w:pPr>
              <w:rPr>
                <w:rFonts w:ascii="Arial" w:hAnsi="Arial" w:cs="Arial"/>
                <w:b/>
              </w:rPr>
            </w:pPr>
            <w:r>
              <w:rPr>
                <w:rFonts w:ascii="Arial" w:hAnsi="Arial" w:cs="Arial"/>
                <w:b/>
              </w:rPr>
              <w:t>€80</w:t>
            </w:r>
          </w:p>
        </w:tc>
      </w:tr>
      <w:tr w:rsidR="00E632BE" w:rsidRPr="00DA7371" w:rsidTr="006621B0">
        <w:tc>
          <w:tcPr>
            <w:tcW w:w="1038" w:type="pct"/>
          </w:tcPr>
          <w:p w:rsidR="00E632BE" w:rsidRPr="00FF6038" w:rsidRDefault="00E632BE" w:rsidP="006621B0">
            <w:pPr>
              <w:pStyle w:val="ListParagraph"/>
              <w:numPr>
                <w:ilvl w:val="0"/>
                <w:numId w:val="2"/>
              </w:numPr>
              <w:rPr>
                <w:rFonts w:ascii="Arial" w:hAnsi="Arial" w:cs="Arial"/>
                <w:b/>
              </w:rPr>
            </w:pPr>
            <w:r w:rsidRPr="00DA7371">
              <w:rPr>
                <w:rFonts w:ascii="Arial" w:hAnsi="Arial" w:cs="Arial"/>
                <w:b/>
              </w:rPr>
              <w:lastRenderedPageBreak/>
              <w:t>Review of Permission to Remain (s49)</w:t>
            </w:r>
          </w:p>
        </w:tc>
        <w:tc>
          <w:tcPr>
            <w:tcW w:w="1395" w:type="pct"/>
          </w:tcPr>
          <w:p w:rsidR="00E632BE" w:rsidRPr="00DA7371" w:rsidRDefault="00E632BE" w:rsidP="006621B0">
            <w:pPr>
              <w:rPr>
                <w:rFonts w:ascii="Arial" w:hAnsi="Arial" w:cs="Arial"/>
              </w:rPr>
            </w:pPr>
            <w:r w:rsidRPr="00DA7371">
              <w:rPr>
                <w:rFonts w:ascii="Arial" w:hAnsi="Arial" w:cs="Arial"/>
                <w:lang w:val="en-GB"/>
              </w:rPr>
              <w:t xml:space="preserve">Provision of legal advice and the making of submissions in relation to a review by the Minister for Justice and Equality in relation to a decision on permission to remain pursuant to section 49 of the International Protection Act 2015. </w:t>
            </w:r>
          </w:p>
        </w:tc>
        <w:tc>
          <w:tcPr>
            <w:tcW w:w="1217" w:type="pct"/>
          </w:tcPr>
          <w:p w:rsidR="00E632BE" w:rsidRPr="00DA7371" w:rsidRDefault="00E632BE" w:rsidP="006621B0">
            <w:pPr>
              <w:rPr>
                <w:rFonts w:ascii="Arial" w:hAnsi="Arial" w:cs="Arial"/>
              </w:rPr>
            </w:pPr>
            <w:r w:rsidRPr="00DA7371">
              <w:rPr>
                <w:rFonts w:ascii="Arial" w:hAnsi="Arial" w:cs="Arial"/>
              </w:rPr>
              <w:t>The applicant is granted permission to remain in the State or a deportation order is made.</w:t>
            </w:r>
          </w:p>
        </w:tc>
        <w:tc>
          <w:tcPr>
            <w:tcW w:w="517" w:type="pct"/>
          </w:tcPr>
          <w:p w:rsidR="00E632BE" w:rsidRDefault="00E632BE" w:rsidP="006621B0">
            <w:pPr>
              <w:rPr>
                <w:rFonts w:ascii="Arial" w:hAnsi="Arial" w:cs="Arial"/>
                <w:b/>
              </w:rPr>
            </w:pPr>
            <w:r>
              <w:rPr>
                <w:rFonts w:ascii="Arial" w:hAnsi="Arial" w:cs="Arial"/>
                <w:b/>
              </w:rPr>
              <w:t>€100</w:t>
            </w:r>
          </w:p>
        </w:tc>
        <w:tc>
          <w:tcPr>
            <w:tcW w:w="428" w:type="pct"/>
          </w:tcPr>
          <w:p w:rsidR="00E632BE" w:rsidRDefault="00E632BE" w:rsidP="006621B0">
            <w:pPr>
              <w:rPr>
                <w:rFonts w:ascii="Arial" w:hAnsi="Arial" w:cs="Arial"/>
                <w:b/>
              </w:rPr>
            </w:pPr>
            <w:r>
              <w:rPr>
                <w:rFonts w:ascii="Arial" w:hAnsi="Arial" w:cs="Arial"/>
                <w:b/>
              </w:rPr>
              <w:t>€100</w:t>
            </w:r>
          </w:p>
        </w:tc>
        <w:tc>
          <w:tcPr>
            <w:tcW w:w="405" w:type="pct"/>
          </w:tcPr>
          <w:p w:rsidR="00E632BE" w:rsidRDefault="00E632BE" w:rsidP="006621B0">
            <w:pPr>
              <w:rPr>
                <w:rFonts w:ascii="Arial" w:hAnsi="Arial" w:cs="Arial"/>
                <w:b/>
              </w:rPr>
            </w:pPr>
            <w:r>
              <w:rPr>
                <w:rFonts w:ascii="Arial" w:hAnsi="Arial" w:cs="Arial"/>
                <w:b/>
              </w:rPr>
              <w:t>€80</w:t>
            </w:r>
          </w:p>
        </w:tc>
      </w:tr>
      <w:tr w:rsidR="00E632BE" w:rsidRPr="00DA7371" w:rsidTr="006621B0">
        <w:tc>
          <w:tcPr>
            <w:tcW w:w="1038" w:type="pct"/>
          </w:tcPr>
          <w:p w:rsidR="00E632BE" w:rsidRPr="00FF6038" w:rsidRDefault="00E632BE" w:rsidP="006621B0">
            <w:pPr>
              <w:pStyle w:val="ListParagraph"/>
              <w:numPr>
                <w:ilvl w:val="0"/>
                <w:numId w:val="2"/>
              </w:numPr>
              <w:rPr>
                <w:rFonts w:ascii="Arial" w:hAnsi="Arial" w:cs="Arial"/>
                <w:b/>
              </w:rPr>
            </w:pPr>
            <w:r w:rsidRPr="00DA7371">
              <w:rPr>
                <w:rFonts w:ascii="Arial" w:hAnsi="Arial" w:cs="Arial"/>
                <w:b/>
              </w:rPr>
              <w:t>Revocation or Amendment of Deportation Order</w:t>
            </w:r>
          </w:p>
        </w:tc>
        <w:tc>
          <w:tcPr>
            <w:tcW w:w="1395" w:type="pct"/>
          </w:tcPr>
          <w:p w:rsidR="00E632BE" w:rsidRPr="00DA7371" w:rsidRDefault="00E632BE" w:rsidP="006B6F82">
            <w:pPr>
              <w:rPr>
                <w:rFonts w:ascii="Arial" w:hAnsi="Arial" w:cs="Arial"/>
                <w:lang w:val="en-US"/>
              </w:rPr>
            </w:pPr>
            <w:r w:rsidRPr="00DA7371">
              <w:rPr>
                <w:rFonts w:ascii="Arial" w:hAnsi="Arial" w:cs="Arial"/>
                <w:lang w:val="en-US"/>
              </w:rPr>
              <w:t>Provision of legal advice in relation to a deportation order made by the Minister for Justice and Equality, pursuant to section 3 of the Immigration Act 1999, to include any representations to the Minister in relation to the possible amendment or revocation of the deportation order</w:t>
            </w:r>
          </w:p>
          <w:p w:rsidR="00E632BE" w:rsidRPr="00DA7371" w:rsidRDefault="00E632BE" w:rsidP="006621B0">
            <w:pPr>
              <w:rPr>
                <w:rFonts w:ascii="Arial" w:hAnsi="Arial" w:cs="Arial"/>
              </w:rPr>
            </w:pPr>
          </w:p>
        </w:tc>
        <w:tc>
          <w:tcPr>
            <w:tcW w:w="1217" w:type="pct"/>
          </w:tcPr>
          <w:p w:rsidR="00E632BE" w:rsidRPr="00DA7371" w:rsidRDefault="00E632BE" w:rsidP="006621B0">
            <w:pPr>
              <w:rPr>
                <w:rFonts w:ascii="Arial" w:hAnsi="Arial" w:cs="Arial"/>
              </w:rPr>
            </w:pPr>
            <w:r w:rsidRPr="00DA7371">
              <w:rPr>
                <w:rFonts w:ascii="Arial" w:hAnsi="Arial" w:cs="Arial"/>
              </w:rPr>
              <w:t>The Minister decides or refuses (as the case may be) to review or amend the deportation order</w:t>
            </w:r>
          </w:p>
        </w:tc>
        <w:tc>
          <w:tcPr>
            <w:tcW w:w="517" w:type="pct"/>
          </w:tcPr>
          <w:p w:rsidR="00E632BE" w:rsidRDefault="00E632BE" w:rsidP="006621B0">
            <w:pPr>
              <w:rPr>
                <w:rFonts w:ascii="Arial" w:hAnsi="Arial" w:cs="Arial"/>
                <w:b/>
              </w:rPr>
            </w:pPr>
            <w:r>
              <w:rPr>
                <w:rFonts w:ascii="Arial" w:hAnsi="Arial" w:cs="Arial"/>
                <w:b/>
              </w:rPr>
              <w:t>€250</w:t>
            </w:r>
          </w:p>
        </w:tc>
        <w:tc>
          <w:tcPr>
            <w:tcW w:w="428" w:type="pct"/>
          </w:tcPr>
          <w:p w:rsidR="00E632BE" w:rsidRDefault="00E632BE" w:rsidP="006621B0">
            <w:pPr>
              <w:rPr>
                <w:rFonts w:ascii="Arial" w:hAnsi="Arial" w:cs="Arial"/>
                <w:b/>
              </w:rPr>
            </w:pPr>
            <w:r>
              <w:rPr>
                <w:rFonts w:ascii="Arial" w:hAnsi="Arial" w:cs="Arial"/>
                <w:b/>
              </w:rPr>
              <w:t>€175</w:t>
            </w:r>
          </w:p>
        </w:tc>
        <w:tc>
          <w:tcPr>
            <w:tcW w:w="405" w:type="pct"/>
          </w:tcPr>
          <w:p w:rsidR="00E632BE" w:rsidRDefault="00E632BE" w:rsidP="006621B0">
            <w:pPr>
              <w:rPr>
                <w:rFonts w:ascii="Arial" w:hAnsi="Arial" w:cs="Arial"/>
                <w:b/>
              </w:rPr>
            </w:pPr>
            <w:r>
              <w:rPr>
                <w:rFonts w:ascii="Arial" w:hAnsi="Arial" w:cs="Arial"/>
                <w:b/>
              </w:rPr>
              <w:t>€80</w:t>
            </w:r>
          </w:p>
        </w:tc>
      </w:tr>
    </w:tbl>
    <w:p w:rsidR="006621B0" w:rsidRDefault="006621B0" w:rsidP="006621B0">
      <w:pPr>
        <w:rPr>
          <w:rFonts w:ascii="Arial" w:hAnsi="Arial" w:cs="Arial"/>
          <w:b/>
          <w:sz w:val="24"/>
          <w:szCs w:val="24"/>
        </w:rPr>
      </w:pPr>
    </w:p>
    <w:p w:rsidR="004B1021" w:rsidRPr="004B1021" w:rsidRDefault="004B1021" w:rsidP="004B1021">
      <w:pPr>
        <w:rPr>
          <w:rFonts w:ascii="Arial" w:hAnsi="Arial" w:cs="Arial"/>
          <w:b/>
          <w:sz w:val="24"/>
          <w:szCs w:val="24"/>
        </w:rPr>
      </w:pPr>
      <w:r w:rsidRPr="004B1021">
        <w:rPr>
          <w:rFonts w:ascii="Arial" w:hAnsi="Arial" w:cs="Arial"/>
          <w:b/>
          <w:sz w:val="24"/>
          <w:szCs w:val="24"/>
        </w:rPr>
        <w:t>Notes:</w:t>
      </w:r>
    </w:p>
    <w:p w:rsidR="004B1021" w:rsidRPr="004B1021" w:rsidRDefault="004B1021" w:rsidP="004B1021">
      <w:pPr>
        <w:rPr>
          <w:rFonts w:ascii="Arial" w:hAnsi="Arial" w:cs="Arial"/>
          <w:sz w:val="24"/>
          <w:szCs w:val="24"/>
        </w:rPr>
      </w:pPr>
      <w:r w:rsidRPr="004B1021">
        <w:rPr>
          <w:rFonts w:ascii="Arial" w:hAnsi="Arial" w:cs="Arial"/>
          <w:sz w:val="24"/>
          <w:szCs w:val="24"/>
        </w:rPr>
        <w:t xml:space="preserve">* The fee for a spouse is the fee payable where the applicant is the spouse or partner of another applicant and the same </w:t>
      </w:r>
      <w:r>
        <w:rPr>
          <w:rFonts w:ascii="Arial" w:hAnsi="Arial" w:cs="Arial"/>
          <w:sz w:val="24"/>
          <w:szCs w:val="24"/>
        </w:rPr>
        <w:t xml:space="preserve">barrister is briefed in respect of </w:t>
      </w:r>
      <w:r w:rsidRPr="004B1021">
        <w:rPr>
          <w:rFonts w:ascii="Arial" w:hAnsi="Arial" w:cs="Arial"/>
          <w:sz w:val="24"/>
          <w:szCs w:val="24"/>
        </w:rPr>
        <w:t>both clients (a full fee will be payable for the first applicant in such cases). Where there is an entirely distinct claim a case can be made to the Board for payment of the full fee for the spouse’s case.</w:t>
      </w:r>
    </w:p>
    <w:p w:rsidR="004B1021" w:rsidRPr="004B1021" w:rsidRDefault="004B1021" w:rsidP="004B1021">
      <w:pPr>
        <w:rPr>
          <w:rFonts w:ascii="Arial" w:hAnsi="Arial" w:cs="Arial"/>
          <w:sz w:val="24"/>
          <w:szCs w:val="24"/>
        </w:rPr>
      </w:pPr>
      <w:r w:rsidRPr="004B1021">
        <w:rPr>
          <w:rFonts w:ascii="Arial" w:hAnsi="Arial" w:cs="Arial"/>
          <w:sz w:val="24"/>
          <w:szCs w:val="24"/>
        </w:rPr>
        <w:t xml:space="preserve">** The fee for a child who has a separate case is the fee payable where the applicant is the child of another applicant </w:t>
      </w:r>
      <w:r w:rsidR="003F6EC2">
        <w:rPr>
          <w:rFonts w:ascii="Arial" w:hAnsi="Arial" w:cs="Arial"/>
          <w:sz w:val="24"/>
          <w:szCs w:val="24"/>
        </w:rPr>
        <w:t xml:space="preserve">in respect of whom the barrister is briefed </w:t>
      </w:r>
      <w:r w:rsidRPr="004B1021">
        <w:rPr>
          <w:rFonts w:ascii="Arial" w:hAnsi="Arial" w:cs="Arial"/>
          <w:sz w:val="24"/>
          <w:szCs w:val="24"/>
        </w:rPr>
        <w:t xml:space="preserve">and the child has a separate asylum case. A full fee will be payable if the </w:t>
      </w:r>
      <w:r w:rsidR="003F6EC2">
        <w:rPr>
          <w:rFonts w:ascii="Arial" w:hAnsi="Arial" w:cs="Arial"/>
          <w:sz w:val="24"/>
          <w:szCs w:val="24"/>
        </w:rPr>
        <w:t xml:space="preserve">barrister is </w:t>
      </w:r>
      <w:r w:rsidRPr="004B1021">
        <w:rPr>
          <w:rFonts w:ascii="Arial" w:hAnsi="Arial" w:cs="Arial"/>
          <w:sz w:val="24"/>
          <w:szCs w:val="24"/>
        </w:rPr>
        <w:t>only representing the child and not either parent.</w:t>
      </w:r>
    </w:p>
    <w:p w:rsidR="004B1021" w:rsidRPr="004B1021" w:rsidRDefault="004B1021" w:rsidP="004B1021">
      <w:pPr>
        <w:rPr>
          <w:rFonts w:ascii="Arial" w:hAnsi="Arial" w:cs="Arial"/>
          <w:sz w:val="24"/>
          <w:szCs w:val="24"/>
        </w:rPr>
      </w:pPr>
      <w:r w:rsidRPr="004B1021">
        <w:rPr>
          <w:rFonts w:ascii="Arial" w:hAnsi="Arial" w:cs="Arial"/>
          <w:sz w:val="24"/>
          <w:szCs w:val="24"/>
        </w:rPr>
        <w:t>A brief withdrawn fee may be payable subject to evidence of work carried out on</w:t>
      </w:r>
      <w:r w:rsidR="003F6EC2">
        <w:rPr>
          <w:rFonts w:ascii="Arial" w:hAnsi="Arial" w:cs="Arial"/>
          <w:sz w:val="24"/>
          <w:szCs w:val="24"/>
        </w:rPr>
        <w:t xml:space="preserve"> the file where, for example, an applicant instructs alternative legal representation </w:t>
      </w:r>
      <w:r w:rsidRPr="004B1021">
        <w:rPr>
          <w:rFonts w:ascii="Arial" w:hAnsi="Arial" w:cs="Arial"/>
          <w:sz w:val="24"/>
          <w:szCs w:val="24"/>
        </w:rPr>
        <w:t xml:space="preserve">or becomes uncontactable after submission(s) or an appeal have been lodged on behalf of the </w:t>
      </w:r>
      <w:r w:rsidR="003F6EC2">
        <w:rPr>
          <w:rFonts w:ascii="Arial" w:hAnsi="Arial" w:cs="Arial"/>
          <w:sz w:val="24"/>
          <w:szCs w:val="24"/>
        </w:rPr>
        <w:lastRenderedPageBreak/>
        <w:t xml:space="preserve">applicant </w:t>
      </w:r>
      <w:r w:rsidRPr="004B1021">
        <w:rPr>
          <w:rFonts w:ascii="Arial" w:hAnsi="Arial" w:cs="Arial"/>
          <w:sz w:val="24"/>
          <w:szCs w:val="24"/>
        </w:rPr>
        <w:t xml:space="preserve">but before the </w:t>
      </w:r>
      <w:r w:rsidR="003F6EC2">
        <w:rPr>
          <w:rFonts w:ascii="Arial" w:hAnsi="Arial" w:cs="Arial"/>
          <w:sz w:val="24"/>
          <w:szCs w:val="24"/>
        </w:rPr>
        <w:t xml:space="preserve">applicant’s </w:t>
      </w:r>
      <w:r w:rsidRPr="004B1021">
        <w:rPr>
          <w:rFonts w:ascii="Arial" w:hAnsi="Arial" w:cs="Arial"/>
          <w:sz w:val="24"/>
          <w:szCs w:val="24"/>
        </w:rPr>
        <w:t>interview or hearing has taken place.</w:t>
      </w:r>
      <w:r w:rsidR="003F6EC2">
        <w:rPr>
          <w:rFonts w:ascii="Arial" w:hAnsi="Arial" w:cs="Arial"/>
          <w:sz w:val="24"/>
          <w:szCs w:val="24"/>
        </w:rPr>
        <w:t xml:space="preserve"> The brief withdrawn fee shall be 50% of the highest fee that the barrister would have been entitled to in respect of the stage of work that had been commenced but not completed. </w:t>
      </w:r>
    </w:p>
    <w:p w:rsidR="004B1021" w:rsidRPr="004B1021" w:rsidRDefault="004B1021" w:rsidP="004B1021">
      <w:pPr>
        <w:rPr>
          <w:rFonts w:ascii="Arial" w:hAnsi="Arial" w:cs="Arial"/>
          <w:b/>
          <w:sz w:val="24"/>
          <w:szCs w:val="24"/>
        </w:rPr>
      </w:pPr>
      <w:r w:rsidRPr="004B1021">
        <w:rPr>
          <w:rFonts w:ascii="Arial" w:hAnsi="Arial" w:cs="Arial"/>
          <w:sz w:val="24"/>
          <w:szCs w:val="24"/>
        </w:rPr>
        <w:t xml:space="preserve">Fees are only payable for services </w:t>
      </w:r>
      <w:r w:rsidR="00CB73F5">
        <w:rPr>
          <w:rFonts w:ascii="Arial" w:hAnsi="Arial" w:cs="Arial"/>
          <w:sz w:val="24"/>
          <w:szCs w:val="24"/>
        </w:rPr>
        <w:t>authorised</w:t>
      </w:r>
      <w:r w:rsidRPr="004B1021">
        <w:rPr>
          <w:rFonts w:ascii="Arial" w:hAnsi="Arial" w:cs="Arial"/>
          <w:sz w:val="24"/>
          <w:szCs w:val="24"/>
        </w:rPr>
        <w:t xml:space="preserve"> in advance by the Board. </w:t>
      </w:r>
    </w:p>
    <w:p w:rsidR="004B1021" w:rsidRPr="006621B0" w:rsidRDefault="004B1021" w:rsidP="004B1021">
      <w:pPr>
        <w:rPr>
          <w:rFonts w:ascii="Arial" w:hAnsi="Arial" w:cs="Arial"/>
          <w:b/>
          <w:sz w:val="24"/>
          <w:szCs w:val="24"/>
        </w:rPr>
      </w:pPr>
      <w:r w:rsidRPr="004B1021">
        <w:rPr>
          <w:rFonts w:ascii="Arial" w:hAnsi="Arial" w:cs="Arial"/>
          <w:b/>
          <w:sz w:val="24"/>
          <w:szCs w:val="24"/>
        </w:rPr>
        <w:t>The appropriate fee can be claimed after each stage has taken place.</w:t>
      </w:r>
    </w:p>
    <w:p w:rsidR="00B51952" w:rsidRPr="00DA7371" w:rsidRDefault="00B51952" w:rsidP="00B51952">
      <w:pPr>
        <w:rPr>
          <w:rFonts w:ascii="Arial" w:hAnsi="Arial" w:cs="Arial"/>
          <w:b/>
        </w:rPr>
      </w:pPr>
      <w:r w:rsidRPr="00DA7371">
        <w:rPr>
          <w:rFonts w:ascii="Arial" w:hAnsi="Arial" w:cs="Arial"/>
          <w:b/>
        </w:rPr>
        <w:t>Table B: Additional fees payable in cases being processed under Regulation (EU) 604/2013 (“Dublin III Regulation”)</w:t>
      </w:r>
    </w:p>
    <w:tbl>
      <w:tblPr>
        <w:tblStyle w:val="TableGrid"/>
        <w:tblW w:w="5000" w:type="pct"/>
        <w:tblLook w:val="04A0" w:firstRow="1" w:lastRow="0" w:firstColumn="1" w:lastColumn="0" w:noHBand="0" w:noVBand="1"/>
      </w:tblPr>
      <w:tblGrid>
        <w:gridCol w:w="2942"/>
        <w:gridCol w:w="3955"/>
        <w:gridCol w:w="3450"/>
        <w:gridCol w:w="1466"/>
        <w:gridCol w:w="1213"/>
        <w:gridCol w:w="1148"/>
      </w:tblGrid>
      <w:tr w:rsidR="00B51952" w:rsidRPr="00DA7371" w:rsidTr="00B51952">
        <w:trPr>
          <w:trHeight w:val="154"/>
        </w:trPr>
        <w:tc>
          <w:tcPr>
            <w:tcW w:w="1038" w:type="pct"/>
            <w:vMerge w:val="restart"/>
          </w:tcPr>
          <w:p w:rsidR="00B51952" w:rsidRPr="00DA7371" w:rsidRDefault="00B51952" w:rsidP="00B51952">
            <w:pPr>
              <w:rPr>
                <w:rFonts w:ascii="Arial" w:hAnsi="Arial" w:cs="Arial"/>
                <w:b/>
              </w:rPr>
            </w:pPr>
            <w:r w:rsidRPr="00DA7371">
              <w:rPr>
                <w:rFonts w:ascii="Arial" w:hAnsi="Arial" w:cs="Arial"/>
                <w:b/>
              </w:rPr>
              <w:t>Case Stage</w:t>
            </w:r>
          </w:p>
        </w:tc>
        <w:tc>
          <w:tcPr>
            <w:tcW w:w="1395" w:type="pct"/>
            <w:vMerge w:val="restart"/>
          </w:tcPr>
          <w:p w:rsidR="00B51952" w:rsidRPr="00DA7371" w:rsidRDefault="00B51952" w:rsidP="00B51952">
            <w:pPr>
              <w:rPr>
                <w:rFonts w:ascii="Arial" w:hAnsi="Arial" w:cs="Arial"/>
                <w:b/>
              </w:rPr>
            </w:pPr>
            <w:r w:rsidRPr="00DA7371">
              <w:rPr>
                <w:rFonts w:ascii="Arial" w:hAnsi="Arial" w:cs="Arial"/>
                <w:b/>
              </w:rPr>
              <w:t>This fee covers</w:t>
            </w:r>
          </w:p>
        </w:tc>
        <w:tc>
          <w:tcPr>
            <w:tcW w:w="1217" w:type="pct"/>
            <w:vMerge w:val="restart"/>
          </w:tcPr>
          <w:p w:rsidR="00B51952" w:rsidRPr="00DA7371" w:rsidRDefault="00B51952" w:rsidP="00B51952">
            <w:pPr>
              <w:rPr>
                <w:rFonts w:ascii="Arial" w:hAnsi="Arial" w:cs="Arial"/>
                <w:b/>
              </w:rPr>
            </w:pPr>
            <w:r w:rsidRPr="00DA7371">
              <w:rPr>
                <w:rFonts w:ascii="Arial" w:hAnsi="Arial" w:cs="Arial"/>
                <w:b/>
              </w:rPr>
              <w:t>Fee can be claimed when</w:t>
            </w:r>
          </w:p>
        </w:tc>
        <w:tc>
          <w:tcPr>
            <w:tcW w:w="1350" w:type="pct"/>
            <w:gridSpan w:val="3"/>
          </w:tcPr>
          <w:p w:rsidR="00B51952" w:rsidRPr="00DA7371" w:rsidRDefault="00B51952" w:rsidP="00B51952">
            <w:pPr>
              <w:jc w:val="center"/>
              <w:rPr>
                <w:rFonts w:ascii="Arial" w:hAnsi="Arial" w:cs="Arial"/>
                <w:b/>
              </w:rPr>
            </w:pPr>
            <w:r w:rsidRPr="00DA7371">
              <w:rPr>
                <w:rFonts w:ascii="Arial" w:hAnsi="Arial" w:cs="Arial"/>
                <w:b/>
              </w:rPr>
              <w:t>Fees</w:t>
            </w:r>
          </w:p>
        </w:tc>
      </w:tr>
      <w:tr w:rsidR="00B51952" w:rsidRPr="00DA7371" w:rsidTr="00B51952">
        <w:trPr>
          <w:trHeight w:val="154"/>
        </w:trPr>
        <w:tc>
          <w:tcPr>
            <w:tcW w:w="1038" w:type="pct"/>
            <w:vMerge/>
          </w:tcPr>
          <w:p w:rsidR="00B51952" w:rsidRPr="00DA7371" w:rsidRDefault="00B51952" w:rsidP="00B51952">
            <w:pPr>
              <w:rPr>
                <w:rFonts w:ascii="Arial" w:hAnsi="Arial" w:cs="Arial"/>
                <w:b/>
              </w:rPr>
            </w:pPr>
          </w:p>
        </w:tc>
        <w:tc>
          <w:tcPr>
            <w:tcW w:w="1395" w:type="pct"/>
            <w:vMerge/>
          </w:tcPr>
          <w:p w:rsidR="00B51952" w:rsidRPr="00DA7371" w:rsidRDefault="00B51952" w:rsidP="00B51952">
            <w:pPr>
              <w:rPr>
                <w:rFonts w:ascii="Arial" w:hAnsi="Arial" w:cs="Arial"/>
                <w:b/>
              </w:rPr>
            </w:pPr>
          </w:p>
        </w:tc>
        <w:tc>
          <w:tcPr>
            <w:tcW w:w="1217" w:type="pct"/>
            <w:vMerge/>
          </w:tcPr>
          <w:p w:rsidR="00B51952" w:rsidRPr="00DA7371" w:rsidRDefault="00B51952" w:rsidP="00B51952">
            <w:pPr>
              <w:rPr>
                <w:rFonts w:ascii="Arial" w:hAnsi="Arial" w:cs="Arial"/>
                <w:b/>
              </w:rPr>
            </w:pPr>
          </w:p>
        </w:tc>
        <w:tc>
          <w:tcPr>
            <w:tcW w:w="517" w:type="pct"/>
          </w:tcPr>
          <w:p w:rsidR="00B51952" w:rsidRPr="00DA7371" w:rsidRDefault="00B51952" w:rsidP="00B51952">
            <w:pPr>
              <w:rPr>
                <w:rFonts w:ascii="Arial" w:hAnsi="Arial" w:cs="Arial"/>
                <w:b/>
              </w:rPr>
            </w:pPr>
            <w:r w:rsidRPr="00DA7371">
              <w:rPr>
                <w:rFonts w:ascii="Arial" w:hAnsi="Arial" w:cs="Arial"/>
                <w:b/>
              </w:rPr>
              <w:t>Applicant</w:t>
            </w:r>
          </w:p>
        </w:tc>
        <w:tc>
          <w:tcPr>
            <w:tcW w:w="428" w:type="pct"/>
          </w:tcPr>
          <w:p w:rsidR="00B51952" w:rsidRPr="00DA7371" w:rsidRDefault="00B51952" w:rsidP="00B51952">
            <w:pPr>
              <w:rPr>
                <w:rFonts w:ascii="Arial" w:hAnsi="Arial" w:cs="Arial"/>
                <w:b/>
              </w:rPr>
            </w:pPr>
            <w:r w:rsidRPr="00DA7371">
              <w:rPr>
                <w:rFonts w:ascii="Arial" w:hAnsi="Arial" w:cs="Arial"/>
                <w:b/>
              </w:rPr>
              <w:t>Spouse</w:t>
            </w:r>
          </w:p>
        </w:tc>
        <w:tc>
          <w:tcPr>
            <w:tcW w:w="405" w:type="pct"/>
          </w:tcPr>
          <w:p w:rsidR="00B51952" w:rsidRPr="00DA7371" w:rsidRDefault="00B51952" w:rsidP="00B51952">
            <w:pPr>
              <w:rPr>
                <w:rFonts w:ascii="Arial" w:hAnsi="Arial" w:cs="Arial"/>
                <w:b/>
              </w:rPr>
            </w:pPr>
            <w:r w:rsidRPr="00DA7371">
              <w:rPr>
                <w:rFonts w:ascii="Arial" w:hAnsi="Arial" w:cs="Arial"/>
                <w:b/>
              </w:rPr>
              <w:t>Child</w:t>
            </w:r>
          </w:p>
        </w:tc>
      </w:tr>
      <w:tr w:rsidR="00B51952" w:rsidRPr="00DA7371" w:rsidTr="00B51952">
        <w:tc>
          <w:tcPr>
            <w:tcW w:w="1038" w:type="pct"/>
          </w:tcPr>
          <w:p w:rsidR="00B51952" w:rsidRPr="00DA7371" w:rsidRDefault="00B51952" w:rsidP="00B51952">
            <w:pPr>
              <w:ind w:left="360"/>
              <w:rPr>
                <w:rFonts w:ascii="Arial" w:hAnsi="Arial" w:cs="Arial"/>
                <w:b/>
              </w:rPr>
            </w:pPr>
            <w:r w:rsidRPr="00DA7371">
              <w:rPr>
                <w:rFonts w:ascii="Arial" w:hAnsi="Arial" w:cs="Arial"/>
                <w:b/>
              </w:rPr>
              <w:t>1A. Dublin III Advices and Submissions to IPO</w:t>
            </w:r>
          </w:p>
        </w:tc>
        <w:tc>
          <w:tcPr>
            <w:tcW w:w="1395" w:type="pct"/>
          </w:tcPr>
          <w:p w:rsidR="00B51952" w:rsidRPr="00DA7371" w:rsidRDefault="00B51952" w:rsidP="00B51952">
            <w:pPr>
              <w:rPr>
                <w:rFonts w:ascii="Arial" w:hAnsi="Arial" w:cs="Arial"/>
              </w:rPr>
            </w:pPr>
            <w:r w:rsidRPr="00DA7371">
              <w:rPr>
                <w:rFonts w:ascii="Arial" w:hAnsi="Arial" w:cs="Arial"/>
              </w:rPr>
              <w:t>Provision of advices and representations to the Protection Office where the client’s application is being processed under the Dublin III Regulation, including advices in relation to Article 5 interview if same has not yet taken place, and to include submissions in relation to Dublin III where appropriate.</w:t>
            </w:r>
          </w:p>
        </w:tc>
        <w:tc>
          <w:tcPr>
            <w:tcW w:w="1217" w:type="pct"/>
          </w:tcPr>
          <w:p w:rsidR="00B51952" w:rsidRPr="00DA7371" w:rsidRDefault="00B51952" w:rsidP="00B51952">
            <w:pPr>
              <w:rPr>
                <w:rFonts w:ascii="Arial" w:hAnsi="Arial" w:cs="Arial"/>
              </w:rPr>
            </w:pPr>
            <w:r w:rsidRPr="00DA7371">
              <w:rPr>
                <w:rFonts w:ascii="Arial" w:hAnsi="Arial" w:cs="Arial"/>
              </w:rPr>
              <w:t>A decision on whether or not to transfer to the client to another jurisdiction under Dublin III is taken.</w:t>
            </w:r>
          </w:p>
        </w:tc>
        <w:tc>
          <w:tcPr>
            <w:tcW w:w="517" w:type="pct"/>
          </w:tcPr>
          <w:p w:rsidR="00B51952" w:rsidRPr="00DA7371" w:rsidRDefault="00B51952" w:rsidP="00B51952">
            <w:pPr>
              <w:rPr>
                <w:rFonts w:ascii="Arial" w:hAnsi="Arial" w:cs="Arial"/>
                <w:b/>
              </w:rPr>
            </w:pPr>
            <w:r>
              <w:rPr>
                <w:rFonts w:ascii="Arial" w:hAnsi="Arial" w:cs="Arial"/>
                <w:b/>
              </w:rPr>
              <w:t>€195</w:t>
            </w:r>
          </w:p>
        </w:tc>
        <w:tc>
          <w:tcPr>
            <w:tcW w:w="428" w:type="pct"/>
          </w:tcPr>
          <w:p w:rsidR="00B51952" w:rsidRPr="00DA7371" w:rsidRDefault="00B51952" w:rsidP="00B51952">
            <w:pPr>
              <w:rPr>
                <w:rFonts w:ascii="Arial" w:hAnsi="Arial" w:cs="Arial"/>
                <w:b/>
              </w:rPr>
            </w:pPr>
            <w:r>
              <w:rPr>
                <w:rFonts w:ascii="Arial" w:hAnsi="Arial" w:cs="Arial"/>
                <w:b/>
              </w:rPr>
              <w:t>€100</w:t>
            </w:r>
          </w:p>
        </w:tc>
        <w:tc>
          <w:tcPr>
            <w:tcW w:w="405" w:type="pct"/>
          </w:tcPr>
          <w:p w:rsidR="00B51952" w:rsidRPr="00DA7371" w:rsidRDefault="00B51952" w:rsidP="00B51952">
            <w:pPr>
              <w:rPr>
                <w:rFonts w:ascii="Arial" w:hAnsi="Arial" w:cs="Arial"/>
                <w:b/>
              </w:rPr>
            </w:pPr>
            <w:r>
              <w:rPr>
                <w:rFonts w:ascii="Arial" w:hAnsi="Arial" w:cs="Arial"/>
                <w:b/>
              </w:rPr>
              <w:t>€80</w:t>
            </w:r>
          </w:p>
        </w:tc>
      </w:tr>
      <w:tr w:rsidR="00B51952" w:rsidRPr="00DA7371" w:rsidTr="00B51952">
        <w:tc>
          <w:tcPr>
            <w:tcW w:w="1038" w:type="pct"/>
          </w:tcPr>
          <w:p w:rsidR="00B51952" w:rsidRPr="00DA7371" w:rsidRDefault="00B51952" w:rsidP="00B51952">
            <w:pPr>
              <w:ind w:left="360"/>
              <w:rPr>
                <w:rFonts w:ascii="Arial" w:hAnsi="Arial" w:cs="Arial"/>
                <w:b/>
              </w:rPr>
            </w:pPr>
            <w:r w:rsidRPr="00DA7371">
              <w:rPr>
                <w:rFonts w:ascii="Arial" w:hAnsi="Arial" w:cs="Arial"/>
                <w:b/>
              </w:rPr>
              <w:t xml:space="preserve">1B. Dublin III Appeal </w:t>
            </w:r>
          </w:p>
        </w:tc>
        <w:tc>
          <w:tcPr>
            <w:tcW w:w="1395" w:type="pct"/>
          </w:tcPr>
          <w:p w:rsidR="00B51952" w:rsidRPr="00DA7371" w:rsidRDefault="00B51952" w:rsidP="00B51952">
            <w:pPr>
              <w:rPr>
                <w:rFonts w:ascii="Arial" w:hAnsi="Arial" w:cs="Arial"/>
              </w:rPr>
            </w:pPr>
            <w:r w:rsidRPr="00DA7371">
              <w:rPr>
                <w:rFonts w:ascii="Arial" w:hAnsi="Arial" w:cs="Arial"/>
              </w:rPr>
              <w:t xml:space="preserve">Provision of advice, drafting notice of appeal and representation at the </w:t>
            </w:r>
            <w:r w:rsidRPr="00DA7371">
              <w:rPr>
                <w:rFonts w:ascii="Arial" w:hAnsi="Arial" w:cs="Arial"/>
                <w:lang w:val="en-GB"/>
              </w:rPr>
              <w:t xml:space="preserve">International Protection Appeals </w:t>
            </w:r>
            <w:r w:rsidRPr="00DA7371">
              <w:rPr>
                <w:rFonts w:ascii="Arial" w:hAnsi="Arial" w:cs="Arial"/>
              </w:rPr>
              <w:t>Tribunal for the purpose of an appeal against a decision to transfer the client to another EU jurisdiction on foot of the provisions of the Dublin III Regulation.</w:t>
            </w:r>
          </w:p>
          <w:p w:rsidR="00B51952" w:rsidRPr="00DA7371" w:rsidRDefault="00B51952" w:rsidP="00B51952">
            <w:pPr>
              <w:rPr>
                <w:rFonts w:ascii="Arial" w:hAnsi="Arial" w:cs="Arial"/>
                <w:b/>
              </w:rPr>
            </w:pPr>
          </w:p>
        </w:tc>
        <w:tc>
          <w:tcPr>
            <w:tcW w:w="1217" w:type="pct"/>
          </w:tcPr>
          <w:p w:rsidR="00B51952" w:rsidRPr="00DA7371" w:rsidRDefault="00B51952" w:rsidP="00B51952">
            <w:pPr>
              <w:rPr>
                <w:rFonts w:ascii="Arial" w:hAnsi="Arial" w:cs="Arial"/>
              </w:rPr>
            </w:pPr>
            <w:r w:rsidRPr="00DA7371">
              <w:rPr>
                <w:rFonts w:ascii="Arial" w:hAnsi="Arial" w:cs="Arial"/>
              </w:rPr>
              <w:t>The Tribunal decides to uphold or overturn the decision to transfer to the client to another jurisdiction under Dublin III.</w:t>
            </w:r>
          </w:p>
        </w:tc>
        <w:tc>
          <w:tcPr>
            <w:tcW w:w="517" w:type="pct"/>
          </w:tcPr>
          <w:p w:rsidR="00B51952" w:rsidRPr="00DA7371" w:rsidRDefault="00B51952" w:rsidP="00B51952">
            <w:pPr>
              <w:rPr>
                <w:rFonts w:ascii="Arial" w:hAnsi="Arial" w:cs="Arial"/>
                <w:b/>
              </w:rPr>
            </w:pPr>
            <w:r>
              <w:rPr>
                <w:rFonts w:ascii="Arial" w:hAnsi="Arial" w:cs="Arial"/>
                <w:b/>
              </w:rPr>
              <w:t>€300</w:t>
            </w:r>
          </w:p>
        </w:tc>
        <w:tc>
          <w:tcPr>
            <w:tcW w:w="428" w:type="pct"/>
          </w:tcPr>
          <w:p w:rsidR="00B51952" w:rsidRPr="00DA7371" w:rsidRDefault="00B51952" w:rsidP="00B51952">
            <w:pPr>
              <w:rPr>
                <w:rFonts w:ascii="Arial" w:hAnsi="Arial" w:cs="Arial"/>
                <w:b/>
              </w:rPr>
            </w:pPr>
            <w:r>
              <w:rPr>
                <w:rFonts w:ascii="Arial" w:hAnsi="Arial" w:cs="Arial"/>
                <w:b/>
              </w:rPr>
              <w:t>€150</w:t>
            </w:r>
          </w:p>
        </w:tc>
        <w:tc>
          <w:tcPr>
            <w:tcW w:w="405" w:type="pct"/>
          </w:tcPr>
          <w:p w:rsidR="00B51952" w:rsidRPr="00DA7371" w:rsidRDefault="00B51952" w:rsidP="00B51952">
            <w:pPr>
              <w:rPr>
                <w:rFonts w:ascii="Arial" w:hAnsi="Arial" w:cs="Arial"/>
                <w:b/>
              </w:rPr>
            </w:pPr>
            <w:r>
              <w:rPr>
                <w:rFonts w:ascii="Arial" w:hAnsi="Arial" w:cs="Arial"/>
                <w:b/>
              </w:rPr>
              <w:t>€80</w:t>
            </w:r>
          </w:p>
        </w:tc>
      </w:tr>
    </w:tbl>
    <w:p w:rsidR="00D077DC" w:rsidRDefault="00D077DC" w:rsidP="00D077DC">
      <w:pPr>
        <w:rPr>
          <w:rFonts w:ascii="Arial" w:hAnsi="Arial" w:cs="Arial"/>
          <w:b/>
          <w:sz w:val="24"/>
          <w:szCs w:val="24"/>
        </w:rPr>
      </w:pPr>
    </w:p>
    <w:p w:rsidR="00B51952" w:rsidRDefault="00B51952" w:rsidP="00D077DC">
      <w:pPr>
        <w:rPr>
          <w:rFonts w:ascii="Arial" w:hAnsi="Arial" w:cs="Arial"/>
          <w:b/>
          <w:sz w:val="24"/>
          <w:szCs w:val="24"/>
        </w:rPr>
      </w:pPr>
      <w:r>
        <w:rPr>
          <w:rFonts w:ascii="Arial" w:hAnsi="Arial" w:cs="Arial"/>
          <w:b/>
          <w:sz w:val="24"/>
          <w:szCs w:val="24"/>
        </w:rPr>
        <w:t>Table C</w:t>
      </w:r>
    </w:p>
    <w:p w:rsidR="00B51952" w:rsidRPr="00DA7371" w:rsidRDefault="00B51952" w:rsidP="00B51952">
      <w:pPr>
        <w:rPr>
          <w:rFonts w:ascii="Arial" w:hAnsi="Arial" w:cs="Arial"/>
          <w:b/>
        </w:rPr>
      </w:pPr>
      <w:r w:rsidRPr="00DA7371">
        <w:rPr>
          <w:rFonts w:ascii="Arial" w:hAnsi="Arial" w:cs="Arial"/>
          <w:b/>
        </w:rPr>
        <w:t>Table C: Other Fees Payable in International Protection Matters</w:t>
      </w:r>
    </w:p>
    <w:tbl>
      <w:tblPr>
        <w:tblStyle w:val="TableGrid"/>
        <w:tblW w:w="5000" w:type="pct"/>
        <w:tblLook w:val="04A0" w:firstRow="1" w:lastRow="0" w:firstColumn="1" w:lastColumn="0" w:noHBand="0" w:noVBand="1"/>
      </w:tblPr>
      <w:tblGrid>
        <w:gridCol w:w="3518"/>
        <w:gridCol w:w="3521"/>
        <w:gridCol w:w="3016"/>
        <w:gridCol w:w="1670"/>
        <w:gridCol w:w="1389"/>
        <w:gridCol w:w="1060"/>
      </w:tblGrid>
      <w:tr w:rsidR="00B51952" w:rsidRPr="00DA7371" w:rsidTr="00B51952">
        <w:trPr>
          <w:trHeight w:val="154"/>
        </w:trPr>
        <w:tc>
          <w:tcPr>
            <w:tcW w:w="1241" w:type="pct"/>
            <w:vMerge w:val="restart"/>
          </w:tcPr>
          <w:p w:rsidR="00B51952" w:rsidRPr="00DA7371" w:rsidRDefault="00B51952" w:rsidP="00B51952">
            <w:pPr>
              <w:rPr>
                <w:rFonts w:ascii="Arial" w:hAnsi="Arial" w:cs="Arial"/>
                <w:b/>
              </w:rPr>
            </w:pPr>
            <w:r w:rsidRPr="00DA7371">
              <w:rPr>
                <w:rFonts w:ascii="Arial" w:hAnsi="Arial" w:cs="Arial"/>
                <w:b/>
              </w:rPr>
              <w:lastRenderedPageBreak/>
              <w:t>Matter</w:t>
            </w:r>
          </w:p>
        </w:tc>
        <w:tc>
          <w:tcPr>
            <w:tcW w:w="1242" w:type="pct"/>
            <w:vMerge w:val="restart"/>
          </w:tcPr>
          <w:p w:rsidR="00B51952" w:rsidRPr="00DA7371" w:rsidRDefault="00B51952" w:rsidP="00B51952">
            <w:pPr>
              <w:rPr>
                <w:rFonts w:ascii="Arial" w:hAnsi="Arial" w:cs="Arial"/>
                <w:b/>
              </w:rPr>
            </w:pPr>
            <w:r w:rsidRPr="00DA7371">
              <w:rPr>
                <w:rFonts w:ascii="Arial" w:hAnsi="Arial" w:cs="Arial"/>
                <w:b/>
              </w:rPr>
              <w:t>This fee covers</w:t>
            </w:r>
          </w:p>
        </w:tc>
        <w:tc>
          <w:tcPr>
            <w:tcW w:w="1064" w:type="pct"/>
            <w:vMerge w:val="restart"/>
          </w:tcPr>
          <w:p w:rsidR="00B51952" w:rsidRPr="00DA7371" w:rsidRDefault="00B51952" w:rsidP="00B51952">
            <w:pPr>
              <w:rPr>
                <w:rFonts w:ascii="Arial" w:hAnsi="Arial" w:cs="Arial"/>
                <w:b/>
              </w:rPr>
            </w:pPr>
            <w:r w:rsidRPr="00DA7371">
              <w:rPr>
                <w:rFonts w:ascii="Arial" w:hAnsi="Arial" w:cs="Arial"/>
                <w:b/>
              </w:rPr>
              <w:t>Fee can be claimed when</w:t>
            </w:r>
          </w:p>
        </w:tc>
        <w:tc>
          <w:tcPr>
            <w:tcW w:w="1453" w:type="pct"/>
            <w:gridSpan w:val="3"/>
          </w:tcPr>
          <w:p w:rsidR="00B51952" w:rsidRPr="00DA7371" w:rsidRDefault="00B51952" w:rsidP="00B51952">
            <w:pPr>
              <w:jc w:val="center"/>
              <w:rPr>
                <w:rFonts w:ascii="Arial" w:hAnsi="Arial" w:cs="Arial"/>
                <w:b/>
              </w:rPr>
            </w:pPr>
            <w:r w:rsidRPr="00DA7371">
              <w:rPr>
                <w:rFonts w:ascii="Arial" w:hAnsi="Arial" w:cs="Arial"/>
                <w:b/>
              </w:rPr>
              <w:t>Fees</w:t>
            </w:r>
          </w:p>
        </w:tc>
      </w:tr>
      <w:tr w:rsidR="00B51952" w:rsidRPr="00DA7371" w:rsidTr="00B51952">
        <w:trPr>
          <w:trHeight w:val="154"/>
        </w:trPr>
        <w:tc>
          <w:tcPr>
            <w:tcW w:w="1241" w:type="pct"/>
            <w:vMerge/>
          </w:tcPr>
          <w:p w:rsidR="00B51952" w:rsidRPr="00DA7371" w:rsidRDefault="00B51952" w:rsidP="00B51952">
            <w:pPr>
              <w:rPr>
                <w:rFonts w:ascii="Arial" w:hAnsi="Arial" w:cs="Arial"/>
                <w:b/>
              </w:rPr>
            </w:pPr>
          </w:p>
        </w:tc>
        <w:tc>
          <w:tcPr>
            <w:tcW w:w="1242" w:type="pct"/>
            <w:vMerge/>
          </w:tcPr>
          <w:p w:rsidR="00B51952" w:rsidRPr="00DA7371" w:rsidRDefault="00B51952" w:rsidP="00B51952">
            <w:pPr>
              <w:rPr>
                <w:rFonts w:ascii="Arial" w:hAnsi="Arial" w:cs="Arial"/>
                <w:b/>
              </w:rPr>
            </w:pPr>
          </w:p>
        </w:tc>
        <w:tc>
          <w:tcPr>
            <w:tcW w:w="1064" w:type="pct"/>
            <w:vMerge/>
          </w:tcPr>
          <w:p w:rsidR="00B51952" w:rsidRPr="00DA7371" w:rsidRDefault="00B51952" w:rsidP="00B51952">
            <w:pPr>
              <w:rPr>
                <w:rFonts w:ascii="Arial" w:hAnsi="Arial" w:cs="Arial"/>
                <w:b/>
              </w:rPr>
            </w:pPr>
          </w:p>
        </w:tc>
        <w:tc>
          <w:tcPr>
            <w:tcW w:w="589" w:type="pct"/>
          </w:tcPr>
          <w:p w:rsidR="00B51952" w:rsidRPr="006B29C3" w:rsidRDefault="00B51952" w:rsidP="00B51952">
            <w:pPr>
              <w:rPr>
                <w:rFonts w:ascii="Arial" w:hAnsi="Arial" w:cs="Arial"/>
                <w:b/>
                <w:sz w:val="20"/>
                <w:szCs w:val="20"/>
              </w:rPr>
            </w:pPr>
            <w:r w:rsidRPr="006B29C3">
              <w:rPr>
                <w:rFonts w:ascii="Arial" w:hAnsi="Arial" w:cs="Arial"/>
                <w:b/>
                <w:sz w:val="20"/>
                <w:szCs w:val="20"/>
              </w:rPr>
              <w:t>Applicant</w:t>
            </w:r>
          </w:p>
        </w:tc>
        <w:tc>
          <w:tcPr>
            <w:tcW w:w="490" w:type="pct"/>
          </w:tcPr>
          <w:p w:rsidR="00B51952" w:rsidRPr="006B29C3" w:rsidRDefault="00B51952" w:rsidP="00B51952">
            <w:pPr>
              <w:rPr>
                <w:rFonts w:ascii="Arial" w:hAnsi="Arial" w:cs="Arial"/>
                <w:b/>
                <w:sz w:val="20"/>
                <w:szCs w:val="20"/>
              </w:rPr>
            </w:pPr>
            <w:r w:rsidRPr="006B29C3">
              <w:rPr>
                <w:rFonts w:ascii="Arial" w:hAnsi="Arial" w:cs="Arial"/>
                <w:b/>
                <w:sz w:val="20"/>
                <w:szCs w:val="20"/>
              </w:rPr>
              <w:t>Spouse</w:t>
            </w:r>
          </w:p>
        </w:tc>
        <w:tc>
          <w:tcPr>
            <w:tcW w:w="374" w:type="pct"/>
          </w:tcPr>
          <w:p w:rsidR="00B51952" w:rsidRPr="006B29C3" w:rsidRDefault="00B51952" w:rsidP="00B51952">
            <w:pPr>
              <w:rPr>
                <w:rFonts w:ascii="Arial" w:hAnsi="Arial" w:cs="Arial"/>
                <w:b/>
                <w:sz w:val="20"/>
                <w:szCs w:val="20"/>
              </w:rPr>
            </w:pPr>
            <w:r w:rsidRPr="006B29C3">
              <w:rPr>
                <w:rFonts w:ascii="Arial" w:hAnsi="Arial" w:cs="Arial"/>
                <w:b/>
                <w:sz w:val="20"/>
                <w:szCs w:val="20"/>
              </w:rPr>
              <w:t>Child</w:t>
            </w:r>
          </w:p>
        </w:tc>
      </w:tr>
      <w:tr w:rsidR="00E632BE" w:rsidRPr="00DA7371" w:rsidTr="00E632BE">
        <w:tc>
          <w:tcPr>
            <w:tcW w:w="1241" w:type="pct"/>
          </w:tcPr>
          <w:p w:rsidR="00E632BE" w:rsidRPr="00DA7371" w:rsidRDefault="00E632BE" w:rsidP="00B51952">
            <w:pPr>
              <w:rPr>
                <w:rFonts w:ascii="Arial" w:hAnsi="Arial" w:cs="Arial"/>
                <w:b/>
              </w:rPr>
            </w:pPr>
            <w:r w:rsidRPr="00DA7371">
              <w:rPr>
                <w:rFonts w:ascii="Arial" w:hAnsi="Arial" w:cs="Arial"/>
                <w:b/>
              </w:rPr>
              <w:t>Inadmissible Application (s21 IPA)</w:t>
            </w:r>
          </w:p>
        </w:tc>
        <w:tc>
          <w:tcPr>
            <w:tcW w:w="1242" w:type="pct"/>
          </w:tcPr>
          <w:p w:rsidR="00E632BE" w:rsidRPr="00DA7371" w:rsidRDefault="00E632BE" w:rsidP="00B51952">
            <w:pPr>
              <w:rPr>
                <w:rFonts w:ascii="Arial" w:hAnsi="Arial" w:cs="Arial"/>
              </w:rPr>
            </w:pPr>
            <w:r w:rsidRPr="00DA7371">
              <w:rPr>
                <w:rFonts w:ascii="Arial" w:hAnsi="Arial" w:cs="Arial"/>
              </w:rPr>
              <w:t>Advice, submissions and an appeal to the International Protection Appeals Tribunal in respect of the inadmissibility of an application under Section 21 of the International Protection Act 2015.</w:t>
            </w:r>
          </w:p>
        </w:tc>
        <w:tc>
          <w:tcPr>
            <w:tcW w:w="1064" w:type="pct"/>
          </w:tcPr>
          <w:p w:rsidR="00E632BE" w:rsidRPr="00DA7371" w:rsidRDefault="00E632BE" w:rsidP="00B51952">
            <w:pPr>
              <w:rPr>
                <w:rFonts w:ascii="Arial" w:hAnsi="Arial" w:cs="Arial"/>
              </w:rPr>
            </w:pPr>
            <w:r w:rsidRPr="00DA7371">
              <w:rPr>
                <w:rFonts w:ascii="Arial" w:hAnsi="Arial" w:cs="Arial"/>
              </w:rPr>
              <w:t>The Minister makes a final decision that the application for international protection is inadmissible, or decides to admit the application.</w:t>
            </w:r>
          </w:p>
        </w:tc>
        <w:tc>
          <w:tcPr>
            <w:tcW w:w="589" w:type="pct"/>
          </w:tcPr>
          <w:p w:rsidR="00E632BE" w:rsidRPr="00DA7371" w:rsidRDefault="00E632BE" w:rsidP="00E632BE">
            <w:pPr>
              <w:rPr>
                <w:rFonts w:ascii="Arial" w:hAnsi="Arial" w:cs="Arial"/>
                <w:b/>
              </w:rPr>
            </w:pPr>
            <w:r>
              <w:rPr>
                <w:rFonts w:ascii="Arial" w:hAnsi="Arial" w:cs="Arial"/>
                <w:b/>
              </w:rPr>
              <w:t>€300</w:t>
            </w:r>
          </w:p>
        </w:tc>
        <w:tc>
          <w:tcPr>
            <w:tcW w:w="490" w:type="pct"/>
          </w:tcPr>
          <w:p w:rsidR="00E632BE" w:rsidRPr="00DA7371" w:rsidRDefault="00E632BE" w:rsidP="00E632BE">
            <w:pPr>
              <w:rPr>
                <w:rFonts w:ascii="Arial" w:hAnsi="Arial" w:cs="Arial"/>
                <w:b/>
              </w:rPr>
            </w:pPr>
            <w:r>
              <w:rPr>
                <w:rFonts w:ascii="Arial" w:hAnsi="Arial" w:cs="Arial"/>
                <w:b/>
              </w:rPr>
              <w:t>€150</w:t>
            </w:r>
          </w:p>
        </w:tc>
        <w:tc>
          <w:tcPr>
            <w:tcW w:w="374" w:type="pct"/>
          </w:tcPr>
          <w:p w:rsidR="00E632BE" w:rsidRPr="00DA7371" w:rsidRDefault="00E632BE" w:rsidP="00E632BE">
            <w:pPr>
              <w:rPr>
                <w:rFonts w:ascii="Arial" w:hAnsi="Arial" w:cs="Arial"/>
                <w:b/>
              </w:rPr>
            </w:pPr>
            <w:r>
              <w:rPr>
                <w:rFonts w:ascii="Arial" w:hAnsi="Arial" w:cs="Arial"/>
                <w:b/>
              </w:rPr>
              <w:t>€80</w:t>
            </w:r>
          </w:p>
        </w:tc>
      </w:tr>
      <w:tr w:rsidR="00E632BE" w:rsidRPr="00DA7371" w:rsidTr="00E632BE">
        <w:tc>
          <w:tcPr>
            <w:tcW w:w="1241" w:type="pct"/>
            <w:tcBorders>
              <w:bottom w:val="nil"/>
            </w:tcBorders>
          </w:tcPr>
          <w:p w:rsidR="00E632BE" w:rsidRPr="00DA7371" w:rsidRDefault="00E632BE" w:rsidP="00B51952">
            <w:pPr>
              <w:rPr>
                <w:rFonts w:ascii="Arial" w:hAnsi="Arial" w:cs="Arial"/>
                <w:b/>
              </w:rPr>
            </w:pPr>
            <w:r w:rsidRPr="00DA7371">
              <w:rPr>
                <w:rFonts w:ascii="Arial" w:hAnsi="Arial" w:cs="Arial"/>
                <w:b/>
              </w:rPr>
              <w:t>Appeal in relation to the material reception conditions</w:t>
            </w:r>
            <w:r>
              <w:rPr>
                <w:rFonts w:ascii="Arial" w:hAnsi="Arial" w:cs="Arial"/>
                <w:b/>
              </w:rPr>
              <w:t xml:space="preserve"> and access to the labour market</w:t>
            </w:r>
          </w:p>
        </w:tc>
        <w:tc>
          <w:tcPr>
            <w:tcW w:w="1242" w:type="pct"/>
            <w:tcBorders>
              <w:bottom w:val="nil"/>
            </w:tcBorders>
          </w:tcPr>
          <w:p w:rsidR="00E632BE" w:rsidRPr="00DA7371" w:rsidRDefault="00E632BE" w:rsidP="00B51952">
            <w:pPr>
              <w:rPr>
                <w:rFonts w:ascii="Arial" w:hAnsi="Arial" w:cs="Arial"/>
              </w:rPr>
            </w:pPr>
            <w:r w:rsidRPr="00DA7371">
              <w:rPr>
                <w:rFonts w:ascii="Arial" w:hAnsi="Arial" w:cs="Arial"/>
              </w:rPr>
              <w:t>Appeal to the International Protection Appeals Tribunal under Regulation 21 of the European Communities (Reception Conditions) Regulations 2018, and where there is an oral hearing</w:t>
            </w:r>
            <w:r>
              <w:rPr>
                <w:rFonts w:ascii="Arial" w:hAnsi="Arial" w:cs="Arial"/>
              </w:rPr>
              <w:t>.</w:t>
            </w:r>
          </w:p>
        </w:tc>
        <w:tc>
          <w:tcPr>
            <w:tcW w:w="1064" w:type="pct"/>
            <w:tcBorders>
              <w:bottom w:val="nil"/>
            </w:tcBorders>
          </w:tcPr>
          <w:p w:rsidR="00E632BE" w:rsidRPr="00DA7371" w:rsidRDefault="00E632BE" w:rsidP="00B51952">
            <w:pPr>
              <w:rPr>
                <w:rFonts w:ascii="Arial" w:hAnsi="Arial" w:cs="Arial"/>
              </w:rPr>
            </w:pPr>
            <w:r w:rsidRPr="00DA7371">
              <w:rPr>
                <w:rFonts w:ascii="Arial" w:hAnsi="Arial" w:cs="Arial"/>
              </w:rPr>
              <w:t>The Tribunal takes a decision in relation to the appeal</w:t>
            </w:r>
          </w:p>
        </w:tc>
        <w:tc>
          <w:tcPr>
            <w:tcW w:w="589" w:type="pct"/>
          </w:tcPr>
          <w:p w:rsidR="00E632BE" w:rsidRPr="00DA7371" w:rsidRDefault="00E632BE" w:rsidP="00E632BE">
            <w:pPr>
              <w:rPr>
                <w:rFonts w:ascii="Arial" w:hAnsi="Arial" w:cs="Arial"/>
                <w:b/>
                <w:lang w:val="en-US"/>
              </w:rPr>
            </w:pPr>
            <w:r>
              <w:rPr>
                <w:rFonts w:ascii="Arial" w:hAnsi="Arial" w:cs="Arial"/>
                <w:b/>
                <w:lang w:val="en-US"/>
              </w:rPr>
              <w:t>€400</w:t>
            </w:r>
          </w:p>
        </w:tc>
        <w:tc>
          <w:tcPr>
            <w:tcW w:w="490" w:type="pct"/>
          </w:tcPr>
          <w:p w:rsidR="00E632BE" w:rsidRPr="00DA7371" w:rsidRDefault="00E632BE" w:rsidP="00E632BE">
            <w:pPr>
              <w:rPr>
                <w:rFonts w:ascii="Arial" w:hAnsi="Arial" w:cs="Arial"/>
                <w:b/>
                <w:lang w:val="en-US"/>
              </w:rPr>
            </w:pPr>
            <w:r>
              <w:rPr>
                <w:rFonts w:ascii="Arial" w:hAnsi="Arial" w:cs="Arial"/>
                <w:b/>
                <w:lang w:val="en-US"/>
              </w:rPr>
              <w:t>€200</w:t>
            </w:r>
          </w:p>
        </w:tc>
        <w:tc>
          <w:tcPr>
            <w:tcW w:w="374" w:type="pct"/>
          </w:tcPr>
          <w:p w:rsidR="00E632BE" w:rsidRPr="00DA7371" w:rsidRDefault="00E632BE" w:rsidP="00E632BE">
            <w:pPr>
              <w:rPr>
                <w:rFonts w:ascii="Arial" w:hAnsi="Arial" w:cs="Arial"/>
                <w:b/>
                <w:lang w:val="en-US"/>
              </w:rPr>
            </w:pPr>
            <w:r>
              <w:rPr>
                <w:rFonts w:ascii="Arial" w:hAnsi="Arial" w:cs="Arial"/>
                <w:b/>
                <w:lang w:val="en-US"/>
              </w:rPr>
              <w:t>€80</w:t>
            </w:r>
          </w:p>
        </w:tc>
      </w:tr>
      <w:tr w:rsidR="00E632BE" w:rsidRPr="00DA7371" w:rsidTr="00E632BE">
        <w:tc>
          <w:tcPr>
            <w:tcW w:w="1241" w:type="pct"/>
            <w:tcBorders>
              <w:top w:val="nil"/>
              <w:bottom w:val="single" w:sz="4" w:space="0" w:color="auto"/>
            </w:tcBorders>
          </w:tcPr>
          <w:p w:rsidR="00E632BE" w:rsidRPr="00DA7371" w:rsidRDefault="00E632BE" w:rsidP="00B51952">
            <w:pPr>
              <w:rPr>
                <w:rFonts w:ascii="Arial" w:hAnsi="Arial" w:cs="Arial"/>
                <w:b/>
              </w:rPr>
            </w:pPr>
          </w:p>
        </w:tc>
        <w:tc>
          <w:tcPr>
            <w:tcW w:w="1242" w:type="pct"/>
            <w:tcBorders>
              <w:top w:val="nil"/>
              <w:bottom w:val="single" w:sz="4" w:space="0" w:color="auto"/>
            </w:tcBorders>
          </w:tcPr>
          <w:p w:rsidR="00E632BE" w:rsidRPr="00DA7371" w:rsidRDefault="00E632BE" w:rsidP="00B51952">
            <w:pPr>
              <w:rPr>
                <w:rFonts w:ascii="Arial" w:hAnsi="Arial" w:cs="Arial"/>
              </w:rPr>
            </w:pPr>
            <w:r w:rsidRPr="00DA7371">
              <w:rPr>
                <w:rFonts w:ascii="Arial" w:hAnsi="Arial" w:cs="Arial"/>
              </w:rPr>
              <w:t>Where there is no oral hearing, a reduced fee shall be payable.</w:t>
            </w:r>
          </w:p>
        </w:tc>
        <w:tc>
          <w:tcPr>
            <w:tcW w:w="1064" w:type="pct"/>
            <w:tcBorders>
              <w:top w:val="nil"/>
              <w:bottom w:val="single" w:sz="4" w:space="0" w:color="auto"/>
            </w:tcBorders>
          </w:tcPr>
          <w:p w:rsidR="00E632BE" w:rsidRPr="00DA7371" w:rsidRDefault="00E632BE" w:rsidP="00B51952">
            <w:pPr>
              <w:rPr>
                <w:rFonts w:ascii="Arial" w:hAnsi="Arial" w:cs="Arial"/>
              </w:rPr>
            </w:pPr>
          </w:p>
        </w:tc>
        <w:tc>
          <w:tcPr>
            <w:tcW w:w="589" w:type="pct"/>
            <w:tcBorders>
              <w:bottom w:val="single" w:sz="4" w:space="0" w:color="auto"/>
            </w:tcBorders>
          </w:tcPr>
          <w:p w:rsidR="00E632BE" w:rsidRPr="00DA7371" w:rsidRDefault="00E632BE" w:rsidP="00B51952">
            <w:pPr>
              <w:jc w:val="both"/>
              <w:rPr>
                <w:rFonts w:ascii="Arial" w:hAnsi="Arial" w:cs="Arial"/>
                <w:b/>
                <w:lang w:val="en-US"/>
              </w:rPr>
            </w:pPr>
            <w:r>
              <w:rPr>
                <w:rFonts w:ascii="Arial" w:hAnsi="Arial" w:cs="Arial"/>
                <w:b/>
                <w:lang w:val="en-US"/>
              </w:rPr>
              <w:t>€150</w:t>
            </w:r>
          </w:p>
        </w:tc>
        <w:tc>
          <w:tcPr>
            <w:tcW w:w="490" w:type="pct"/>
            <w:tcBorders>
              <w:bottom w:val="single" w:sz="4" w:space="0" w:color="auto"/>
            </w:tcBorders>
          </w:tcPr>
          <w:p w:rsidR="00E632BE" w:rsidRPr="00DA7371" w:rsidRDefault="00E632BE" w:rsidP="00B51952">
            <w:pPr>
              <w:jc w:val="both"/>
              <w:rPr>
                <w:rFonts w:ascii="Arial" w:hAnsi="Arial" w:cs="Arial"/>
                <w:b/>
                <w:lang w:val="en-US"/>
              </w:rPr>
            </w:pPr>
            <w:r>
              <w:rPr>
                <w:rFonts w:ascii="Arial" w:hAnsi="Arial" w:cs="Arial"/>
                <w:b/>
                <w:lang w:val="en-US"/>
              </w:rPr>
              <w:t>€75</w:t>
            </w:r>
          </w:p>
        </w:tc>
        <w:tc>
          <w:tcPr>
            <w:tcW w:w="374" w:type="pct"/>
            <w:tcBorders>
              <w:bottom w:val="single" w:sz="4" w:space="0" w:color="auto"/>
            </w:tcBorders>
          </w:tcPr>
          <w:p w:rsidR="00E632BE" w:rsidRPr="00DA7371" w:rsidRDefault="00E632BE" w:rsidP="00B51952">
            <w:pPr>
              <w:jc w:val="both"/>
              <w:rPr>
                <w:rFonts w:ascii="Arial" w:hAnsi="Arial" w:cs="Arial"/>
                <w:b/>
                <w:lang w:val="en-US"/>
              </w:rPr>
            </w:pPr>
            <w:r>
              <w:rPr>
                <w:rFonts w:ascii="Arial" w:hAnsi="Arial" w:cs="Arial"/>
                <w:b/>
                <w:lang w:val="en-US"/>
              </w:rPr>
              <w:t>€50</w:t>
            </w:r>
          </w:p>
        </w:tc>
      </w:tr>
    </w:tbl>
    <w:p w:rsidR="00B51952" w:rsidRDefault="00B51952" w:rsidP="00B51952">
      <w:pPr>
        <w:pStyle w:val="BodyTextIndent"/>
        <w:tabs>
          <w:tab w:val="left" w:pos="540"/>
          <w:tab w:val="left" w:pos="720"/>
        </w:tabs>
        <w:ind w:left="502"/>
        <w:jc w:val="left"/>
        <w:rPr>
          <w:rFonts w:ascii="Arial" w:hAnsi="Arial" w:cs="Arial"/>
          <w:b/>
        </w:rPr>
      </w:pPr>
    </w:p>
    <w:sectPr w:rsidR="00B51952" w:rsidSect="006621B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B1F" w:rsidRDefault="00274B1F" w:rsidP="00DF78B3">
      <w:pPr>
        <w:spacing w:after="0" w:line="240" w:lineRule="auto"/>
      </w:pPr>
      <w:r>
        <w:separator/>
      </w:r>
    </w:p>
  </w:endnote>
  <w:endnote w:type="continuationSeparator" w:id="0">
    <w:p w:rsidR="00274B1F" w:rsidRDefault="00274B1F" w:rsidP="00DF7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B1F" w:rsidRDefault="00274B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B1F" w:rsidRDefault="00274B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B1F" w:rsidRDefault="00274B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B1F" w:rsidRDefault="00274B1F" w:rsidP="00DF78B3">
      <w:pPr>
        <w:spacing w:after="0" w:line="240" w:lineRule="auto"/>
      </w:pPr>
      <w:r>
        <w:separator/>
      </w:r>
    </w:p>
  </w:footnote>
  <w:footnote w:type="continuationSeparator" w:id="0">
    <w:p w:rsidR="00274B1F" w:rsidRDefault="00274B1F" w:rsidP="00DF78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B1F" w:rsidRDefault="00274B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B1F" w:rsidRDefault="00274B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B1F" w:rsidRDefault="00274B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3028"/>
    <w:multiLevelType w:val="hybridMultilevel"/>
    <w:tmpl w:val="CBCA9F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44F4500"/>
    <w:multiLevelType w:val="hybridMultilevel"/>
    <w:tmpl w:val="98906C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71B1FCB"/>
    <w:multiLevelType w:val="hybridMultilevel"/>
    <w:tmpl w:val="F1FA8B6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399B3DA4"/>
    <w:multiLevelType w:val="hybridMultilevel"/>
    <w:tmpl w:val="EAC4F9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5CD76573"/>
    <w:multiLevelType w:val="hybridMultilevel"/>
    <w:tmpl w:val="4A4CB252"/>
    <w:lvl w:ilvl="0" w:tplc="BF2482D2">
      <w:start w:val="1"/>
      <w:numFmt w:val="decimal"/>
      <w:lvlText w:val="%1."/>
      <w:lvlJc w:val="lef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77CF1BD0"/>
    <w:multiLevelType w:val="hybridMultilevel"/>
    <w:tmpl w:val="64D6DDC2"/>
    <w:lvl w:ilvl="0" w:tplc="5EA2F068">
      <w:start w:val="3"/>
      <w:numFmt w:val="low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7DC"/>
    <w:rsid w:val="00007021"/>
    <w:rsid w:val="0001097D"/>
    <w:rsid w:val="0002580B"/>
    <w:rsid w:val="00041369"/>
    <w:rsid w:val="000B1DA3"/>
    <w:rsid w:val="000F3450"/>
    <w:rsid w:val="001026E3"/>
    <w:rsid w:val="00105FA2"/>
    <w:rsid w:val="00120450"/>
    <w:rsid w:val="001214F6"/>
    <w:rsid w:val="001414EB"/>
    <w:rsid w:val="00164329"/>
    <w:rsid w:val="00274B1F"/>
    <w:rsid w:val="002C125B"/>
    <w:rsid w:val="002D351D"/>
    <w:rsid w:val="00302919"/>
    <w:rsid w:val="00323179"/>
    <w:rsid w:val="00380408"/>
    <w:rsid w:val="00397AAF"/>
    <w:rsid w:val="003B3622"/>
    <w:rsid w:val="003F6EC2"/>
    <w:rsid w:val="00425B88"/>
    <w:rsid w:val="00463B94"/>
    <w:rsid w:val="00467510"/>
    <w:rsid w:val="00485C01"/>
    <w:rsid w:val="00496BE7"/>
    <w:rsid w:val="004B0692"/>
    <w:rsid w:val="004B1021"/>
    <w:rsid w:val="004C3AE0"/>
    <w:rsid w:val="004D705F"/>
    <w:rsid w:val="005049BE"/>
    <w:rsid w:val="00516EA7"/>
    <w:rsid w:val="00527553"/>
    <w:rsid w:val="0055474D"/>
    <w:rsid w:val="005615CF"/>
    <w:rsid w:val="00573DD4"/>
    <w:rsid w:val="00653458"/>
    <w:rsid w:val="00654B85"/>
    <w:rsid w:val="00660A74"/>
    <w:rsid w:val="006621B0"/>
    <w:rsid w:val="00671C61"/>
    <w:rsid w:val="00680BC8"/>
    <w:rsid w:val="00686B65"/>
    <w:rsid w:val="006B6F82"/>
    <w:rsid w:val="006C39E0"/>
    <w:rsid w:val="006F017E"/>
    <w:rsid w:val="006F7191"/>
    <w:rsid w:val="00704CE6"/>
    <w:rsid w:val="0071196E"/>
    <w:rsid w:val="007154D1"/>
    <w:rsid w:val="00721815"/>
    <w:rsid w:val="00741C3F"/>
    <w:rsid w:val="00756832"/>
    <w:rsid w:val="00786ED7"/>
    <w:rsid w:val="007B198E"/>
    <w:rsid w:val="007D251C"/>
    <w:rsid w:val="00823EF7"/>
    <w:rsid w:val="00830CBE"/>
    <w:rsid w:val="00850ED8"/>
    <w:rsid w:val="00873992"/>
    <w:rsid w:val="008B0749"/>
    <w:rsid w:val="008C061F"/>
    <w:rsid w:val="008C12C7"/>
    <w:rsid w:val="008F2DFC"/>
    <w:rsid w:val="008F5182"/>
    <w:rsid w:val="00952F81"/>
    <w:rsid w:val="009533A3"/>
    <w:rsid w:val="009664BB"/>
    <w:rsid w:val="009816DA"/>
    <w:rsid w:val="009A37D0"/>
    <w:rsid w:val="009E3469"/>
    <w:rsid w:val="00A13CA1"/>
    <w:rsid w:val="00A35632"/>
    <w:rsid w:val="00A40646"/>
    <w:rsid w:val="00AA06D9"/>
    <w:rsid w:val="00AA7436"/>
    <w:rsid w:val="00AC46B1"/>
    <w:rsid w:val="00AE2C86"/>
    <w:rsid w:val="00AF27AD"/>
    <w:rsid w:val="00AF7862"/>
    <w:rsid w:val="00B0663C"/>
    <w:rsid w:val="00B31456"/>
    <w:rsid w:val="00B51952"/>
    <w:rsid w:val="00B7565E"/>
    <w:rsid w:val="00BB15B3"/>
    <w:rsid w:val="00BB56F0"/>
    <w:rsid w:val="00BE04DB"/>
    <w:rsid w:val="00BE51C2"/>
    <w:rsid w:val="00C1326E"/>
    <w:rsid w:val="00C22FDB"/>
    <w:rsid w:val="00C2347A"/>
    <w:rsid w:val="00C300E7"/>
    <w:rsid w:val="00C31755"/>
    <w:rsid w:val="00C9521F"/>
    <w:rsid w:val="00CB73F5"/>
    <w:rsid w:val="00D077DC"/>
    <w:rsid w:val="00D21BA6"/>
    <w:rsid w:val="00D31B89"/>
    <w:rsid w:val="00D340E7"/>
    <w:rsid w:val="00D56223"/>
    <w:rsid w:val="00D576CA"/>
    <w:rsid w:val="00D65E1F"/>
    <w:rsid w:val="00D7717E"/>
    <w:rsid w:val="00D83A21"/>
    <w:rsid w:val="00D964E9"/>
    <w:rsid w:val="00DA7A96"/>
    <w:rsid w:val="00DC3996"/>
    <w:rsid w:val="00DF78B3"/>
    <w:rsid w:val="00E100D3"/>
    <w:rsid w:val="00E13806"/>
    <w:rsid w:val="00E632BE"/>
    <w:rsid w:val="00E6567D"/>
    <w:rsid w:val="00EA0D6A"/>
    <w:rsid w:val="00EF1136"/>
    <w:rsid w:val="00F66E9E"/>
    <w:rsid w:val="00FA7221"/>
    <w:rsid w:val="00FB6C8B"/>
    <w:rsid w:val="00FE5460"/>
    <w:rsid w:val="00FF44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4DB"/>
    <w:pPr>
      <w:ind w:left="720"/>
      <w:contextualSpacing/>
    </w:pPr>
  </w:style>
  <w:style w:type="character" w:styleId="Hyperlink">
    <w:name w:val="Hyperlink"/>
    <w:basedOn w:val="DefaultParagraphFont"/>
    <w:uiPriority w:val="99"/>
    <w:unhideWhenUsed/>
    <w:rsid w:val="00105FA2"/>
    <w:rPr>
      <w:color w:val="0000FF" w:themeColor="hyperlink"/>
      <w:u w:val="single"/>
    </w:rPr>
  </w:style>
  <w:style w:type="paragraph" w:styleId="BodyTextIndent">
    <w:name w:val="Body Text Indent"/>
    <w:basedOn w:val="Normal"/>
    <w:link w:val="BodyTextIndentChar"/>
    <w:unhideWhenUsed/>
    <w:rsid w:val="00AA7436"/>
    <w:pPr>
      <w:autoSpaceDE w:val="0"/>
      <w:autoSpaceDN w:val="0"/>
      <w:adjustRightInd w:val="0"/>
      <w:spacing w:after="0" w:line="240" w:lineRule="auto"/>
      <w:ind w:left="360" w:hanging="360"/>
      <w:jc w:val="both"/>
    </w:pPr>
    <w:rPr>
      <w:rFonts w:ascii="Times New Roman" w:eastAsia="Times New Roman" w:hAnsi="Times New Roman" w:cs="Times New Roman"/>
      <w:sz w:val="24"/>
      <w:szCs w:val="24"/>
      <w:lang w:eastAsia="en-GB"/>
    </w:rPr>
  </w:style>
  <w:style w:type="character" w:customStyle="1" w:styleId="BodyTextIndentChar">
    <w:name w:val="Body Text Indent Char"/>
    <w:basedOn w:val="DefaultParagraphFont"/>
    <w:link w:val="BodyTextIndent"/>
    <w:rsid w:val="00AA7436"/>
    <w:rPr>
      <w:rFonts w:ascii="Times New Roman" w:eastAsia="Times New Roman" w:hAnsi="Times New Roman" w:cs="Times New Roman"/>
      <w:sz w:val="24"/>
      <w:szCs w:val="24"/>
      <w:lang w:eastAsia="en-GB"/>
    </w:rPr>
  </w:style>
  <w:style w:type="table" w:styleId="TableGrid">
    <w:name w:val="Table Grid"/>
    <w:basedOn w:val="TableNormal"/>
    <w:uiPriority w:val="59"/>
    <w:rsid w:val="006621B0"/>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E6567D"/>
  </w:style>
  <w:style w:type="character" w:styleId="CommentReference">
    <w:name w:val="annotation reference"/>
    <w:basedOn w:val="DefaultParagraphFont"/>
    <w:uiPriority w:val="99"/>
    <w:semiHidden/>
    <w:unhideWhenUsed/>
    <w:rsid w:val="00E100D3"/>
    <w:rPr>
      <w:sz w:val="16"/>
      <w:szCs w:val="16"/>
    </w:rPr>
  </w:style>
  <w:style w:type="paragraph" w:styleId="CommentText">
    <w:name w:val="annotation text"/>
    <w:basedOn w:val="Normal"/>
    <w:link w:val="CommentTextChar"/>
    <w:uiPriority w:val="99"/>
    <w:semiHidden/>
    <w:unhideWhenUsed/>
    <w:rsid w:val="00E100D3"/>
    <w:pPr>
      <w:spacing w:line="240" w:lineRule="auto"/>
    </w:pPr>
    <w:rPr>
      <w:sz w:val="20"/>
      <w:szCs w:val="20"/>
    </w:rPr>
  </w:style>
  <w:style w:type="character" w:customStyle="1" w:styleId="CommentTextChar">
    <w:name w:val="Comment Text Char"/>
    <w:basedOn w:val="DefaultParagraphFont"/>
    <w:link w:val="CommentText"/>
    <w:uiPriority w:val="99"/>
    <w:semiHidden/>
    <w:rsid w:val="00E100D3"/>
    <w:rPr>
      <w:sz w:val="20"/>
      <w:szCs w:val="20"/>
    </w:rPr>
  </w:style>
  <w:style w:type="paragraph" w:styleId="CommentSubject">
    <w:name w:val="annotation subject"/>
    <w:basedOn w:val="CommentText"/>
    <w:next w:val="CommentText"/>
    <w:link w:val="CommentSubjectChar"/>
    <w:uiPriority w:val="99"/>
    <w:semiHidden/>
    <w:unhideWhenUsed/>
    <w:rsid w:val="00E100D3"/>
    <w:rPr>
      <w:b/>
      <w:bCs/>
    </w:rPr>
  </w:style>
  <w:style w:type="character" w:customStyle="1" w:styleId="CommentSubjectChar">
    <w:name w:val="Comment Subject Char"/>
    <w:basedOn w:val="CommentTextChar"/>
    <w:link w:val="CommentSubject"/>
    <w:uiPriority w:val="99"/>
    <w:semiHidden/>
    <w:rsid w:val="00E100D3"/>
    <w:rPr>
      <w:b/>
      <w:bCs/>
      <w:sz w:val="20"/>
      <w:szCs w:val="20"/>
    </w:rPr>
  </w:style>
  <w:style w:type="paragraph" w:styleId="BalloonText">
    <w:name w:val="Balloon Text"/>
    <w:basedOn w:val="Normal"/>
    <w:link w:val="BalloonTextChar"/>
    <w:uiPriority w:val="99"/>
    <w:semiHidden/>
    <w:unhideWhenUsed/>
    <w:rsid w:val="00E10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0D3"/>
    <w:rPr>
      <w:rFonts w:ascii="Tahoma" w:hAnsi="Tahoma" w:cs="Tahoma"/>
      <w:sz w:val="16"/>
      <w:szCs w:val="16"/>
    </w:rPr>
  </w:style>
  <w:style w:type="paragraph" w:styleId="Header">
    <w:name w:val="header"/>
    <w:basedOn w:val="Normal"/>
    <w:link w:val="HeaderChar"/>
    <w:uiPriority w:val="99"/>
    <w:unhideWhenUsed/>
    <w:rsid w:val="00DF7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8B3"/>
  </w:style>
  <w:style w:type="paragraph" w:styleId="Footer">
    <w:name w:val="footer"/>
    <w:basedOn w:val="Normal"/>
    <w:link w:val="FooterChar"/>
    <w:uiPriority w:val="99"/>
    <w:unhideWhenUsed/>
    <w:rsid w:val="00DF7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8B3"/>
  </w:style>
  <w:style w:type="paragraph" w:styleId="NoSpacing">
    <w:name w:val="No Spacing"/>
    <w:uiPriority w:val="1"/>
    <w:qFormat/>
    <w:rsid w:val="008F51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4DB"/>
    <w:pPr>
      <w:ind w:left="720"/>
      <w:contextualSpacing/>
    </w:pPr>
  </w:style>
  <w:style w:type="character" w:styleId="Hyperlink">
    <w:name w:val="Hyperlink"/>
    <w:basedOn w:val="DefaultParagraphFont"/>
    <w:uiPriority w:val="99"/>
    <w:unhideWhenUsed/>
    <w:rsid w:val="00105FA2"/>
    <w:rPr>
      <w:color w:val="0000FF" w:themeColor="hyperlink"/>
      <w:u w:val="single"/>
    </w:rPr>
  </w:style>
  <w:style w:type="paragraph" w:styleId="BodyTextIndent">
    <w:name w:val="Body Text Indent"/>
    <w:basedOn w:val="Normal"/>
    <w:link w:val="BodyTextIndentChar"/>
    <w:unhideWhenUsed/>
    <w:rsid w:val="00AA7436"/>
    <w:pPr>
      <w:autoSpaceDE w:val="0"/>
      <w:autoSpaceDN w:val="0"/>
      <w:adjustRightInd w:val="0"/>
      <w:spacing w:after="0" w:line="240" w:lineRule="auto"/>
      <w:ind w:left="360" w:hanging="360"/>
      <w:jc w:val="both"/>
    </w:pPr>
    <w:rPr>
      <w:rFonts w:ascii="Times New Roman" w:eastAsia="Times New Roman" w:hAnsi="Times New Roman" w:cs="Times New Roman"/>
      <w:sz w:val="24"/>
      <w:szCs w:val="24"/>
      <w:lang w:eastAsia="en-GB"/>
    </w:rPr>
  </w:style>
  <w:style w:type="character" w:customStyle="1" w:styleId="BodyTextIndentChar">
    <w:name w:val="Body Text Indent Char"/>
    <w:basedOn w:val="DefaultParagraphFont"/>
    <w:link w:val="BodyTextIndent"/>
    <w:rsid w:val="00AA7436"/>
    <w:rPr>
      <w:rFonts w:ascii="Times New Roman" w:eastAsia="Times New Roman" w:hAnsi="Times New Roman" w:cs="Times New Roman"/>
      <w:sz w:val="24"/>
      <w:szCs w:val="24"/>
      <w:lang w:eastAsia="en-GB"/>
    </w:rPr>
  </w:style>
  <w:style w:type="table" w:styleId="TableGrid">
    <w:name w:val="Table Grid"/>
    <w:basedOn w:val="TableNormal"/>
    <w:uiPriority w:val="59"/>
    <w:rsid w:val="006621B0"/>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E6567D"/>
  </w:style>
  <w:style w:type="character" w:styleId="CommentReference">
    <w:name w:val="annotation reference"/>
    <w:basedOn w:val="DefaultParagraphFont"/>
    <w:uiPriority w:val="99"/>
    <w:semiHidden/>
    <w:unhideWhenUsed/>
    <w:rsid w:val="00E100D3"/>
    <w:rPr>
      <w:sz w:val="16"/>
      <w:szCs w:val="16"/>
    </w:rPr>
  </w:style>
  <w:style w:type="paragraph" w:styleId="CommentText">
    <w:name w:val="annotation text"/>
    <w:basedOn w:val="Normal"/>
    <w:link w:val="CommentTextChar"/>
    <w:uiPriority w:val="99"/>
    <w:semiHidden/>
    <w:unhideWhenUsed/>
    <w:rsid w:val="00E100D3"/>
    <w:pPr>
      <w:spacing w:line="240" w:lineRule="auto"/>
    </w:pPr>
    <w:rPr>
      <w:sz w:val="20"/>
      <w:szCs w:val="20"/>
    </w:rPr>
  </w:style>
  <w:style w:type="character" w:customStyle="1" w:styleId="CommentTextChar">
    <w:name w:val="Comment Text Char"/>
    <w:basedOn w:val="DefaultParagraphFont"/>
    <w:link w:val="CommentText"/>
    <w:uiPriority w:val="99"/>
    <w:semiHidden/>
    <w:rsid w:val="00E100D3"/>
    <w:rPr>
      <w:sz w:val="20"/>
      <w:szCs w:val="20"/>
    </w:rPr>
  </w:style>
  <w:style w:type="paragraph" w:styleId="CommentSubject">
    <w:name w:val="annotation subject"/>
    <w:basedOn w:val="CommentText"/>
    <w:next w:val="CommentText"/>
    <w:link w:val="CommentSubjectChar"/>
    <w:uiPriority w:val="99"/>
    <w:semiHidden/>
    <w:unhideWhenUsed/>
    <w:rsid w:val="00E100D3"/>
    <w:rPr>
      <w:b/>
      <w:bCs/>
    </w:rPr>
  </w:style>
  <w:style w:type="character" w:customStyle="1" w:styleId="CommentSubjectChar">
    <w:name w:val="Comment Subject Char"/>
    <w:basedOn w:val="CommentTextChar"/>
    <w:link w:val="CommentSubject"/>
    <w:uiPriority w:val="99"/>
    <w:semiHidden/>
    <w:rsid w:val="00E100D3"/>
    <w:rPr>
      <w:b/>
      <w:bCs/>
      <w:sz w:val="20"/>
      <w:szCs w:val="20"/>
    </w:rPr>
  </w:style>
  <w:style w:type="paragraph" w:styleId="BalloonText">
    <w:name w:val="Balloon Text"/>
    <w:basedOn w:val="Normal"/>
    <w:link w:val="BalloonTextChar"/>
    <w:uiPriority w:val="99"/>
    <w:semiHidden/>
    <w:unhideWhenUsed/>
    <w:rsid w:val="00E10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0D3"/>
    <w:rPr>
      <w:rFonts w:ascii="Tahoma" w:hAnsi="Tahoma" w:cs="Tahoma"/>
      <w:sz w:val="16"/>
      <w:szCs w:val="16"/>
    </w:rPr>
  </w:style>
  <w:style w:type="paragraph" w:styleId="Header">
    <w:name w:val="header"/>
    <w:basedOn w:val="Normal"/>
    <w:link w:val="HeaderChar"/>
    <w:uiPriority w:val="99"/>
    <w:unhideWhenUsed/>
    <w:rsid w:val="00DF7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8B3"/>
  </w:style>
  <w:style w:type="paragraph" w:styleId="Footer">
    <w:name w:val="footer"/>
    <w:basedOn w:val="Normal"/>
    <w:link w:val="FooterChar"/>
    <w:uiPriority w:val="99"/>
    <w:unhideWhenUsed/>
    <w:rsid w:val="00DF7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8B3"/>
  </w:style>
  <w:style w:type="paragraph" w:styleId="NoSpacing">
    <w:name w:val="No Spacing"/>
    <w:uiPriority w:val="1"/>
    <w:qFormat/>
    <w:rsid w:val="008F51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462937">
      <w:bodyDiv w:val="1"/>
      <w:marLeft w:val="0"/>
      <w:marRight w:val="0"/>
      <w:marTop w:val="0"/>
      <w:marBottom w:val="0"/>
      <w:divBdr>
        <w:top w:val="none" w:sz="0" w:space="0" w:color="auto"/>
        <w:left w:val="none" w:sz="0" w:space="0" w:color="auto"/>
        <w:bottom w:val="none" w:sz="0" w:space="0" w:color="auto"/>
        <w:right w:val="none" w:sz="0" w:space="0" w:color="auto"/>
      </w:divBdr>
    </w:div>
    <w:div w:id="125589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dc@legalaidboard.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34141-3F2E-4750-8C72-F4A279C39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E51F51C2</Template>
  <TotalTime>0</TotalTime>
  <Pages>9</Pages>
  <Words>2660</Words>
  <Characters>15166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D. Deegan</dc:creator>
  <cp:lastModifiedBy>Alma X. Cronin</cp:lastModifiedBy>
  <cp:revision>2</cp:revision>
  <dcterms:created xsi:type="dcterms:W3CDTF">2022-12-30T14:29:00Z</dcterms:created>
  <dcterms:modified xsi:type="dcterms:W3CDTF">2022-12-30T14:29:00Z</dcterms:modified>
</cp:coreProperties>
</file>